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3ED85" w14:textId="77777777" w:rsidR="00E63D8A" w:rsidRDefault="00E63D8A" w:rsidP="00E63D8A">
      <w:pPr>
        <w:pStyle w:val="NormalWeb"/>
      </w:pPr>
      <w:r w:rsidRPr="00E63D8A">
        <w:rPr>
          <w:highlight w:val="yellow"/>
        </w:rPr>
        <w:t>[Organization Letterhead]</w:t>
      </w:r>
    </w:p>
    <w:p w14:paraId="227BD1B9" w14:textId="77777777" w:rsidR="00E63D8A" w:rsidRDefault="00E63D8A" w:rsidP="00E63D8A">
      <w:pPr>
        <w:pStyle w:val="NormalWeb"/>
      </w:pPr>
      <w:r>
        <w:t>Submitted via Regulations.gov</w:t>
      </w:r>
    </w:p>
    <w:p w14:paraId="032967D9" w14:textId="77777777" w:rsidR="00E63D8A" w:rsidRDefault="00E63D8A" w:rsidP="00E63D8A">
      <w:pPr>
        <w:pStyle w:val="NormalWeb"/>
      </w:pPr>
      <w:r>
        <w:t>Re: OMB-2026-0034 – Uniform Administrative Requirements, Cost Principles, and Audit Requirements for Federal Awards</w:t>
      </w:r>
    </w:p>
    <w:p w14:paraId="6681A7CD" w14:textId="77777777" w:rsidR="00E63D8A" w:rsidRDefault="00E63D8A" w:rsidP="00E63D8A">
      <w:pPr>
        <w:pStyle w:val="NormalWeb"/>
      </w:pPr>
      <w:r>
        <w:t>To Whom It May Concern:</w:t>
      </w:r>
    </w:p>
    <w:p w14:paraId="170F579E" w14:textId="77777777" w:rsidR="00E63D8A" w:rsidRDefault="00E63D8A" w:rsidP="00E63D8A">
      <w:pPr>
        <w:pStyle w:val="NormalWeb"/>
      </w:pPr>
      <w:r w:rsidRPr="00E63D8A">
        <w:rPr>
          <w:highlight w:val="yellow"/>
        </w:rPr>
        <w:t>[ORGANIZATION NAME]</w:t>
      </w:r>
      <w:r>
        <w:t xml:space="preserve"> appreciates the opportunity to provide comments on the Office of Management and Budget's proposed revisions to the Uniform Administrative Requirements, Cost Principles, and Audit Requirements for Federal Awards.</w:t>
      </w:r>
    </w:p>
    <w:p w14:paraId="42A10158" w14:textId="77777777" w:rsidR="00E63D8A" w:rsidRDefault="00E63D8A" w:rsidP="00E63D8A">
      <w:pPr>
        <w:pStyle w:val="NormalWeb"/>
      </w:pPr>
      <w:r w:rsidRPr="00E63D8A">
        <w:rPr>
          <w:highlight w:val="yellow"/>
        </w:rPr>
        <w:t>[ORGANIZATION NAME]</w:t>
      </w:r>
      <w:r>
        <w:t xml:space="preserve"> represents </w:t>
      </w:r>
      <w:r w:rsidRPr="00E63D8A">
        <w:rPr>
          <w:highlight w:val="yellow"/>
        </w:rPr>
        <w:t>[DESCRIBE WHO YOU REPRESENT—patients, researchers, clinicians, academic institutions, professional societies, nonprofit organizations, industry partners, disease communities, scientific disciplines, or other stakeholders]</w:t>
      </w:r>
      <w:r>
        <w:t>.</w:t>
      </w:r>
    </w:p>
    <w:p w14:paraId="35BD689B" w14:textId="77777777" w:rsidR="00E63D8A" w:rsidRDefault="00E63D8A" w:rsidP="00E63D8A">
      <w:pPr>
        <w:pStyle w:val="NormalWeb"/>
      </w:pPr>
      <w:r>
        <w:t>Our organization supports efforts to improve transparency, accountability, stewardship of taxpayer resources, and alignment of federally funded activities with agency missions and public priorities. We share the Administration's interest in ensuring that federal funding is used effectively and responsibly. However, several provisions within the proposed rule may unintentionally undermine the effectiveness, predictability, scientific integrity, and collaborative nature of the federal research enterprise.</w:t>
      </w:r>
    </w:p>
    <w:p w14:paraId="3E62E1C5" w14:textId="358F28AE" w:rsidR="00E63D8A" w:rsidRDefault="00E63D8A" w:rsidP="00E63D8A">
      <w:pPr>
        <w:pStyle w:val="NormalWeb"/>
      </w:pPr>
      <w:r w:rsidRPr="00E63D8A">
        <w:rPr>
          <w:highlight w:val="yellow"/>
        </w:rPr>
        <w:t xml:space="preserve">[OPTIONAL: INSERT ONE OR TWO PARAGRAPHS DESCRIBING THE IMPACT OF FEDERALLY SUPPORTED RESEARCH </w:t>
      </w:r>
      <w:r>
        <w:rPr>
          <w:highlight w:val="yellow"/>
        </w:rPr>
        <w:t>FROM YOUR ORGANIZATION’S PERSPECTIVE</w:t>
      </w:r>
      <w:r w:rsidRPr="00E63D8A">
        <w:rPr>
          <w:highlight w:val="yellow"/>
        </w:rPr>
        <w:t>. Examples could include scientific breakthroughs, patient outcomes, workforce development, public health benefits, or economic impacts.]</w:t>
      </w:r>
    </w:p>
    <w:p w14:paraId="727C05C6" w14:textId="17C254D2" w:rsidR="00E63D8A" w:rsidRPr="00E63D8A" w:rsidRDefault="00E63D8A" w:rsidP="00E63D8A">
      <w:pPr>
        <w:pStyle w:val="NormalWeb"/>
        <w:rPr>
          <w:b/>
          <w:bCs/>
        </w:rPr>
      </w:pPr>
      <w:r w:rsidRPr="00E63D8A">
        <w:rPr>
          <w:b/>
          <w:bCs/>
        </w:rPr>
        <w:t xml:space="preserve">§200.202 – Program Planning and Design </w:t>
      </w:r>
    </w:p>
    <w:p w14:paraId="1AF67A83" w14:textId="77777777" w:rsidR="00E63D8A" w:rsidRDefault="00E63D8A" w:rsidP="00E63D8A">
      <w:pPr>
        <w:pStyle w:val="NormalWeb"/>
      </w:pPr>
      <w:r w:rsidRPr="00E63D8A">
        <w:rPr>
          <w:highlight w:val="yellow"/>
        </w:rPr>
        <w:t>[ORGANIZATION NAME]</w:t>
      </w:r>
      <w:r>
        <w:t xml:space="preserve"> supports the principle that federally funded activities should advance agency missions and address important public needs. However, federal agencies already maintain extensive mechanisms to ensure that funded activities align with statutory authorities, agency priorities, congressional intent, and public objectives.</w:t>
      </w:r>
    </w:p>
    <w:p w14:paraId="7CC6B78C" w14:textId="77777777" w:rsidR="00E63D8A" w:rsidRDefault="00E63D8A" w:rsidP="00E63D8A">
      <w:pPr>
        <w:pStyle w:val="NormalWeb"/>
      </w:pPr>
      <w:r>
        <w:t>Existing strategic plans, advisory council reviews, peer review systems, programmatic oversight mechanisms, and portfolio management processes provide substantial accountability while preserving the flexibility necessary for scientific discovery and innovation.</w:t>
      </w:r>
    </w:p>
    <w:p w14:paraId="6E7C6C65" w14:textId="7F6AC2E1" w:rsidR="00E63D8A" w:rsidRDefault="00E63D8A" w:rsidP="00E63D8A">
      <w:pPr>
        <w:pStyle w:val="NormalWeb"/>
      </w:pPr>
      <w:r w:rsidRPr="00E63D8A">
        <w:rPr>
          <w:highlight w:val="yellow"/>
        </w:rPr>
        <w:t xml:space="preserve">[OPTIONAL: MODIFY THIS SECTION TO INCLUDE EXAMPLES FROM YOUR </w:t>
      </w:r>
      <w:r>
        <w:rPr>
          <w:highlight w:val="yellow"/>
        </w:rPr>
        <w:t>ORGANIZATION</w:t>
      </w:r>
      <w:r w:rsidRPr="00E63D8A">
        <w:rPr>
          <w:highlight w:val="yellow"/>
        </w:rPr>
        <w:t xml:space="preserve"> OR COMMUNITY.]</w:t>
      </w:r>
    </w:p>
    <w:p w14:paraId="3657462B" w14:textId="77777777" w:rsidR="00E63D8A" w:rsidRDefault="00E63D8A" w:rsidP="00E63D8A">
      <w:pPr>
        <w:pStyle w:val="NormalWeb"/>
      </w:pPr>
      <w:r>
        <w:t>We encourage OMB to ensure that any new requirements complement rather than supplant existing scientific review, agency expertise, and established grant management practices.</w:t>
      </w:r>
    </w:p>
    <w:p w14:paraId="4D2BB39D" w14:textId="153CC2E0" w:rsidR="00E63D8A" w:rsidRPr="00E63D8A" w:rsidRDefault="00E63D8A" w:rsidP="00E63D8A">
      <w:pPr>
        <w:pStyle w:val="NormalWeb"/>
        <w:rPr>
          <w:b/>
          <w:bCs/>
        </w:rPr>
      </w:pPr>
      <w:r w:rsidRPr="00E63D8A">
        <w:rPr>
          <w:b/>
          <w:bCs/>
        </w:rPr>
        <w:lastRenderedPageBreak/>
        <w:t xml:space="preserve">§200.205 – Federal Agency Review of Merit of Proposals </w:t>
      </w:r>
    </w:p>
    <w:p w14:paraId="20967FA1" w14:textId="77777777" w:rsidR="00E63D8A" w:rsidRDefault="00E63D8A" w:rsidP="00E63D8A">
      <w:pPr>
        <w:pStyle w:val="NormalWeb"/>
      </w:pPr>
      <w:r w:rsidRPr="00E63D8A">
        <w:rPr>
          <w:highlight w:val="yellow"/>
        </w:rPr>
        <w:t>[ORGANIZATION NAME]</w:t>
      </w:r>
      <w:r>
        <w:t xml:space="preserve"> is deeply concerned about proposed revisions to §200.205 that would establish additional pre-award reviews by senior political appointees and require consideration of factors beyond traditional scientific or technical merit review.</w:t>
      </w:r>
    </w:p>
    <w:p w14:paraId="48AB050D" w14:textId="77777777" w:rsidR="00E63D8A" w:rsidRDefault="00E63D8A" w:rsidP="00E63D8A">
      <w:pPr>
        <w:pStyle w:val="NormalWeb"/>
      </w:pPr>
      <w:r>
        <w:t>For decades, federal agencies have relied upon expert peer review and subject-matter expertise to evaluate proposals based on rigor, innovation, feasibility, qualifications, and potential impact. This process has contributed significantly to American leadership in scientific research and innovation.</w:t>
      </w:r>
    </w:p>
    <w:p w14:paraId="63ED9B16" w14:textId="77777777" w:rsidR="00E63D8A" w:rsidRDefault="00E63D8A" w:rsidP="00E63D8A">
      <w:pPr>
        <w:pStyle w:val="NormalWeb"/>
      </w:pPr>
      <w:r>
        <w:t>While we recognize the importance of ensuring compliance with applicable law and agency missions, we are concerned that the proposed framework could diminish the role of scientific merit review by introducing subjective or politically variable criteria into funding decisions.</w:t>
      </w:r>
    </w:p>
    <w:p w14:paraId="2D639341" w14:textId="77777777" w:rsidR="00E63D8A" w:rsidRDefault="00E63D8A" w:rsidP="00E63D8A">
      <w:pPr>
        <w:pStyle w:val="NormalWeb"/>
      </w:pPr>
      <w:r>
        <w:t>The proposal's statement that peer review is advisory and that agencies are not required to fund projects based on scientific review outcomes raises particular concern. Although agencies have always retained discretion, the proposed language appears to establish a more formal pathway through which highly ranked proposals could be denied funding for reasons unrelated to scientific quality, technical merit, or anticipated public benefit.</w:t>
      </w:r>
    </w:p>
    <w:p w14:paraId="6014EC8B" w14:textId="77777777" w:rsidR="00E63D8A" w:rsidRDefault="00E63D8A" w:rsidP="00E63D8A">
      <w:pPr>
        <w:pStyle w:val="NormalWeb"/>
      </w:pPr>
      <w:r>
        <w:t>Many transformative discoveries originated from investigator-initiated research that could not have been predicted in advance and may not have aligned with immediate policy priorities at the time they were proposed.</w:t>
      </w:r>
    </w:p>
    <w:p w14:paraId="1DC378B9" w14:textId="77777777" w:rsidR="00E63D8A" w:rsidRDefault="00E63D8A" w:rsidP="00E63D8A">
      <w:pPr>
        <w:pStyle w:val="NormalWeb"/>
      </w:pPr>
      <w:r w:rsidRPr="00E63D8A">
        <w:rPr>
          <w:highlight w:val="yellow"/>
        </w:rPr>
        <w:t>[OPTIONAL: INSERT EXAMPLES OF BREAKTHROUGHS, DISCOVERIES, OR PROGRAMS THAT EMERGED FROM INVESTIGATOR-INITIATED OR BASIC RESEARCH.]</w:t>
      </w:r>
    </w:p>
    <w:p w14:paraId="6EFB1E15" w14:textId="77777777" w:rsidR="00E63D8A" w:rsidRDefault="00E63D8A" w:rsidP="00E63D8A">
      <w:pPr>
        <w:pStyle w:val="NormalWeb"/>
      </w:pPr>
      <w:r>
        <w:t>We strongly encourage OMB to preserve scientific merit review as the primary basis for funding decisions and ensure that any additional reviews remain narrowly focused on statutory compliance, programmatic relevance, and stewardship responsibilities.</w:t>
      </w:r>
    </w:p>
    <w:p w14:paraId="32BDF368" w14:textId="77777777" w:rsidR="00E63D8A" w:rsidRDefault="00E63D8A" w:rsidP="00E63D8A">
      <w:pPr>
        <w:pStyle w:val="NormalWeb"/>
      </w:pPr>
      <w:r w:rsidRPr="00E63D8A">
        <w:rPr>
          <w:highlight w:val="yellow"/>
        </w:rPr>
        <w:t>[OPTIONAL: ADD ORGANIZATION-SPECIFIC CONCERNS ABOUT POLITICAL INTERFERENCE, RESEARCH INDEPENDENCE, PATIENT IMPACTS, WORKFORCE EFFECTS, OR OTHER RELEVANT ISSUES.]</w:t>
      </w:r>
    </w:p>
    <w:p w14:paraId="3C2FA649" w14:textId="77777777" w:rsidR="00E63D8A" w:rsidRPr="00E63D8A" w:rsidRDefault="00E63D8A" w:rsidP="00E63D8A">
      <w:pPr>
        <w:pStyle w:val="NormalWeb"/>
        <w:rPr>
          <w:b/>
          <w:bCs/>
        </w:rPr>
      </w:pPr>
      <w:r w:rsidRPr="00E63D8A">
        <w:rPr>
          <w:b/>
          <w:bCs/>
        </w:rPr>
        <w:t>§200.206 – Federal Agency Review of Risk Posed by Applicants</w:t>
      </w:r>
    </w:p>
    <w:p w14:paraId="0B0B1FA1" w14:textId="77777777" w:rsidR="00E63D8A" w:rsidRDefault="00E63D8A" w:rsidP="00E63D8A">
      <w:pPr>
        <w:pStyle w:val="NormalWeb"/>
      </w:pPr>
      <w:r w:rsidRPr="00E63D8A">
        <w:rPr>
          <w:highlight w:val="yellow"/>
        </w:rPr>
        <w:t>[ORGANIZATION NAME]</w:t>
      </w:r>
      <w:r>
        <w:t xml:space="preserve"> supports appropriate risk assessment and stewardship of federal resources. However, expanded pre-award review requirements may introduce uncertainty and delays into the grantmaking process.</w:t>
      </w:r>
    </w:p>
    <w:p w14:paraId="44C9268D" w14:textId="77777777" w:rsidR="00E63D8A" w:rsidRDefault="00E63D8A" w:rsidP="00E63D8A">
      <w:pPr>
        <w:pStyle w:val="NormalWeb"/>
      </w:pPr>
      <w:r>
        <w:t>Research projects often depend upon time-sensitive staffing decisions, recruitment activities, equipment purchases, collaborative agreements, and long-term planning. Delays in award issuance can disrupt research progress and increase administrative costs.</w:t>
      </w:r>
    </w:p>
    <w:p w14:paraId="73D8B880" w14:textId="77777777" w:rsidR="00E63D8A" w:rsidRDefault="00E63D8A" w:rsidP="00E63D8A">
      <w:pPr>
        <w:pStyle w:val="NormalWeb"/>
      </w:pPr>
      <w:r w:rsidRPr="00E63D8A">
        <w:rPr>
          <w:highlight w:val="yellow"/>
        </w:rPr>
        <w:lastRenderedPageBreak/>
        <w:t>[OPTIONAL: INSERT SPECIFIC EXAMPLES OF HOW DELAYS WOULD IMPACT YOUR ORGANIZATION, RESEARCH COMMUNITY, OR PATIENT POPULATION.]</w:t>
      </w:r>
    </w:p>
    <w:p w14:paraId="5C2AF910" w14:textId="77777777" w:rsidR="00E63D8A" w:rsidRDefault="00E63D8A" w:rsidP="00E63D8A">
      <w:pPr>
        <w:pStyle w:val="NormalWeb"/>
      </w:pPr>
      <w:r>
        <w:t>We encourage OMB to ensure that any expanded review requirements are governed by objective criteria and implemented through clearly defined timelines.</w:t>
      </w:r>
    </w:p>
    <w:p w14:paraId="77A1D0AC" w14:textId="3A6484BE" w:rsidR="00E63D8A" w:rsidRPr="00E63D8A" w:rsidRDefault="00E63D8A" w:rsidP="00E63D8A">
      <w:pPr>
        <w:pStyle w:val="NormalWeb"/>
        <w:rPr>
          <w:b/>
          <w:bCs/>
        </w:rPr>
      </w:pPr>
      <w:r w:rsidRPr="00E63D8A">
        <w:rPr>
          <w:b/>
          <w:bCs/>
        </w:rPr>
        <w:t xml:space="preserve">§200.340 – Termination and Suspension of Awards </w:t>
      </w:r>
    </w:p>
    <w:p w14:paraId="15CF4BFA" w14:textId="77777777" w:rsidR="00E63D8A" w:rsidRDefault="00E63D8A" w:rsidP="00E63D8A">
      <w:pPr>
        <w:pStyle w:val="NormalWeb"/>
      </w:pPr>
      <w:r w:rsidRPr="00E63D8A">
        <w:rPr>
          <w:highlight w:val="yellow"/>
        </w:rPr>
        <w:t>[ORGANIZATION NAME]</w:t>
      </w:r>
      <w:r>
        <w:t xml:space="preserve"> is concerned that proposed changes to termination and suspension authorities could increase uncertainty regarding the continuation of active awards.</w:t>
      </w:r>
    </w:p>
    <w:p w14:paraId="4CA2621A" w14:textId="77777777" w:rsidR="00E63D8A" w:rsidRDefault="00E63D8A" w:rsidP="00E63D8A">
      <w:pPr>
        <w:pStyle w:val="NormalWeb"/>
      </w:pPr>
      <w:r>
        <w:t>Many federally supported projects require long-term investments involving researchers, institutions, patients, communities, trainees, and other stakeholders.</w:t>
      </w:r>
    </w:p>
    <w:p w14:paraId="0C9A66B3" w14:textId="77777777" w:rsidR="00E63D8A" w:rsidRDefault="00E63D8A" w:rsidP="00E63D8A">
      <w:pPr>
        <w:pStyle w:val="NormalWeb"/>
      </w:pPr>
      <w:r>
        <w:t>Greater uncertainty regarding grant continuation could discourage innovative work, reduce institutional investment, and create barriers for early-career investigators and emerging organizations.</w:t>
      </w:r>
    </w:p>
    <w:p w14:paraId="1A62A00B" w14:textId="77777777" w:rsidR="00E63D8A" w:rsidRDefault="00E63D8A" w:rsidP="00E63D8A">
      <w:pPr>
        <w:pStyle w:val="NormalWeb"/>
      </w:pPr>
      <w:r>
        <w:t>We encourage OMB to ensure that decisions affecting active awards are informed by appropriate subject-matter expertise and provide meaningful opportunities for recipients to respond, clarify, or correct misunderstandings before funding actions are taken.</w:t>
      </w:r>
    </w:p>
    <w:p w14:paraId="54A2969E" w14:textId="77777777" w:rsidR="00E63D8A" w:rsidRDefault="00E63D8A" w:rsidP="00E63D8A">
      <w:pPr>
        <w:pStyle w:val="NormalWeb"/>
      </w:pPr>
      <w:r w:rsidRPr="00E63D8A">
        <w:rPr>
          <w:highlight w:val="yellow"/>
        </w:rPr>
        <w:t>[OPTIONAL: INSERT ADDITIONAL CONCERNS OR EXAMPLES.]</w:t>
      </w:r>
    </w:p>
    <w:p w14:paraId="7C791651" w14:textId="77777777" w:rsidR="00E63D8A" w:rsidRPr="00E63D8A" w:rsidRDefault="00E63D8A" w:rsidP="00E63D8A">
      <w:pPr>
        <w:pStyle w:val="NormalWeb"/>
        <w:rPr>
          <w:b/>
          <w:bCs/>
        </w:rPr>
      </w:pPr>
      <w:r w:rsidRPr="00E63D8A">
        <w:rPr>
          <w:b/>
          <w:bCs/>
        </w:rPr>
        <w:t>§200.201 – Fixed Amount Awards</w:t>
      </w:r>
    </w:p>
    <w:p w14:paraId="4C5A2958" w14:textId="77777777" w:rsidR="00E63D8A" w:rsidRDefault="00E63D8A" w:rsidP="00E63D8A">
      <w:pPr>
        <w:pStyle w:val="NormalWeb"/>
      </w:pPr>
      <w:r w:rsidRPr="00E63D8A">
        <w:rPr>
          <w:highlight w:val="yellow"/>
        </w:rPr>
        <w:t>[ORGANIZATION NAME]</w:t>
      </w:r>
      <w:r>
        <w:t xml:space="preserve"> recognizes that fixed amount awards may be appropriate for certain projects with clearly defined deliverables and predictable costs.</w:t>
      </w:r>
    </w:p>
    <w:p w14:paraId="39F101D7" w14:textId="77777777" w:rsidR="00E63D8A" w:rsidRDefault="00E63D8A" w:rsidP="00E63D8A">
      <w:pPr>
        <w:pStyle w:val="NormalWeb"/>
      </w:pPr>
      <w:r>
        <w:t>However, many research and public-service activities involve substantial uncertainty and require flexibility to adapt to evolving circumstances, new findings, recruitment challenges, technological developments, or changing conditions.</w:t>
      </w:r>
    </w:p>
    <w:p w14:paraId="6DE06C05" w14:textId="77777777" w:rsidR="00E63D8A" w:rsidRDefault="00E63D8A" w:rsidP="00E63D8A">
      <w:pPr>
        <w:pStyle w:val="NormalWeb"/>
      </w:pPr>
      <w:r>
        <w:t>We encourage OMB to ensure that agencies retain flexibility to utilize funding mechanisms appropriate for the nature of the work being supported.</w:t>
      </w:r>
    </w:p>
    <w:p w14:paraId="559CF0A1" w14:textId="77777777" w:rsidR="00E63D8A" w:rsidRDefault="00E63D8A" w:rsidP="00E63D8A">
      <w:pPr>
        <w:pStyle w:val="NormalWeb"/>
      </w:pPr>
      <w:r w:rsidRPr="00E63D8A">
        <w:rPr>
          <w:highlight w:val="yellow"/>
        </w:rPr>
        <w:t>[OPTIONAL: MODIFY THIS SECTION TO REFLECT YOUR ORGANIZATION'S EXPERIENCE.]</w:t>
      </w:r>
    </w:p>
    <w:p w14:paraId="00C8313A" w14:textId="77777777" w:rsidR="00E63D8A" w:rsidRPr="00E63D8A" w:rsidRDefault="00E63D8A" w:rsidP="00E63D8A">
      <w:pPr>
        <w:pStyle w:val="NormalWeb"/>
        <w:rPr>
          <w:b/>
          <w:bCs/>
        </w:rPr>
      </w:pPr>
      <w:r w:rsidRPr="00E63D8A">
        <w:rPr>
          <w:b/>
          <w:bCs/>
        </w:rPr>
        <w:t>§200.333 – Fixed Amount Subawards</w:t>
      </w:r>
    </w:p>
    <w:p w14:paraId="1B151E4B" w14:textId="77777777" w:rsidR="00E63D8A" w:rsidRDefault="00E63D8A" w:rsidP="00E63D8A">
      <w:pPr>
        <w:pStyle w:val="NormalWeb"/>
      </w:pPr>
      <w:r w:rsidRPr="00E63D8A">
        <w:rPr>
          <w:highlight w:val="yellow"/>
        </w:rPr>
        <w:t>[ORGANIZATION NAME]</w:t>
      </w:r>
      <w:r>
        <w:t xml:space="preserve"> is concerned that eliminating fixed amount subawards may increase administrative burden and create barriers to collaboration.</w:t>
      </w:r>
    </w:p>
    <w:p w14:paraId="1437DAC6" w14:textId="77777777" w:rsidR="00E63D8A" w:rsidRDefault="00E63D8A" w:rsidP="00E63D8A">
      <w:pPr>
        <w:pStyle w:val="NormalWeb"/>
      </w:pPr>
      <w:r>
        <w:lastRenderedPageBreak/>
        <w:t>Many federally funded projects rely upon partnerships among universities, hospitals, nonprofits, community organizations, professional societies, patient advocacy groups, and other stakeholders.</w:t>
      </w:r>
    </w:p>
    <w:p w14:paraId="3DD08D66" w14:textId="77777777" w:rsidR="00E63D8A" w:rsidRDefault="00E63D8A" w:rsidP="00E63D8A">
      <w:pPr>
        <w:pStyle w:val="NormalWeb"/>
      </w:pPr>
      <w:r>
        <w:t>Fixed amount subawards can reduce administrative burden, simplify financial management, and allow organizations to focus resources on mission-related activities rather than transactional compliance requirements.</w:t>
      </w:r>
    </w:p>
    <w:p w14:paraId="04CD4B60" w14:textId="77777777" w:rsidR="00E63D8A" w:rsidRDefault="00E63D8A" w:rsidP="00E63D8A">
      <w:pPr>
        <w:pStyle w:val="NormalWeb"/>
      </w:pPr>
      <w:r>
        <w:t>We encourage OMB to preserve flexible subaward mechanisms that support effective collaboration and efficient administration.</w:t>
      </w:r>
    </w:p>
    <w:p w14:paraId="52D15E6B" w14:textId="77777777" w:rsidR="00E63D8A" w:rsidRDefault="00E63D8A" w:rsidP="00E63D8A">
      <w:pPr>
        <w:pStyle w:val="NormalWeb"/>
      </w:pPr>
      <w:r w:rsidRPr="00E63D8A">
        <w:rPr>
          <w:highlight w:val="yellow"/>
        </w:rPr>
        <w:t>[OPTIONAL: INSERT EXAMPLES OF COLLABORATIVE PROJECTS THAT WOULD BE AFFECTED.]</w:t>
      </w:r>
    </w:p>
    <w:p w14:paraId="451FFFB8" w14:textId="77777777" w:rsidR="00E63D8A" w:rsidRPr="00E63D8A" w:rsidRDefault="00E63D8A" w:rsidP="00E63D8A">
      <w:pPr>
        <w:pStyle w:val="NormalWeb"/>
        <w:rPr>
          <w:b/>
          <w:bCs/>
        </w:rPr>
      </w:pPr>
      <w:r w:rsidRPr="00E63D8A">
        <w:rPr>
          <w:b/>
          <w:bCs/>
        </w:rPr>
        <w:t>§200.332 – Pass-Through Entity Requirements</w:t>
      </w:r>
    </w:p>
    <w:p w14:paraId="77A20F4E" w14:textId="77777777" w:rsidR="00E63D8A" w:rsidRDefault="00E63D8A" w:rsidP="00E63D8A">
      <w:pPr>
        <w:pStyle w:val="NormalWeb"/>
      </w:pPr>
      <w:r w:rsidRPr="00E63D8A">
        <w:rPr>
          <w:highlight w:val="yellow"/>
        </w:rPr>
        <w:t>[ORGANIZATION NAME]</w:t>
      </w:r>
      <w:r>
        <w:t xml:space="preserve"> is concerned that subjective concepts such as reputational risk could create uncertainty in subrecipient oversight decisions.</w:t>
      </w:r>
    </w:p>
    <w:p w14:paraId="1F321EE5" w14:textId="77777777" w:rsidR="00E63D8A" w:rsidRDefault="00E63D8A" w:rsidP="00E63D8A">
      <w:pPr>
        <w:pStyle w:val="NormalWeb"/>
      </w:pPr>
      <w:r>
        <w:t>Oversight standards should be objective, measurable, transparent, and consistently applied.</w:t>
      </w:r>
    </w:p>
    <w:p w14:paraId="60D7FEE5" w14:textId="77777777" w:rsidR="00E63D8A" w:rsidRDefault="00E63D8A" w:rsidP="00E63D8A">
      <w:pPr>
        <w:pStyle w:val="NormalWeb"/>
      </w:pPr>
      <w:r>
        <w:t>We encourage OMB to ensure that oversight decisions remain grounded in performance, compliance, and stewardship criteria rather than subjective or inconsistently applied standards.</w:t>
      </w:r>
    </w:p>
    <w:p w14:paraId="595A90E0" w14:textId="77777777" w:rsidR="00E63D8A" w:rsidRDefault="00E63D8A" w:rsidP="00E63D8A">
      <w:pPr>
        <w:pStyle w:val="NormalWeb"/>
      </w:pPr>
      <w:r w:rsidRPr="00E63D8A">
        <w:rPr>
          <w:highlight w:val="yellow"/>
        </w:rPr>
        <w:t>[OPTIONAL: INSERT ADDITIONAL CONCERNS.]</w:t>
      </w:r>
    </w:p>
    <w:p w14:paraId="0274BA9E" w14:textId="77777777" w:rsidR="00E63D8A" w:rsidRPr="00E63D8A" w:rsidRDefault="00E63D8A" w:rsidP="00E63D8A">
      <w:pPr>
        <w:pStyle w:val="NormalWeb"/>
        <w:rPr>
          <w:b/>
          <w:bCs/>
        </w:rPr>
      </w:pPr>
      <w:r w:rsidRPr="00E63D8A">
        <w:rPr>
          <w:b/>
          <w:bCs/>
        </w:rPr>
        <w:t>§200.432 and §200.461 – Conferences, Publications, and Dissemination</w:t>
      </w:r>
    </w:p>
    <w:p w14:paraId="5327FFB0" w14:textId="77777777" w:rsidR="00E63D8A" w:rsidRDefault="00E63D8A" w:rsidP="00E63D8A">
      <w:pPr>
        <w:pStyle w:val="NormalWeb"/>
      </w:pPr>
      <w:r>
        <w:t>[ORGANIZATION NAME] is concerned that proposed changes affecting conference participation and publication costs could impede the dissemination of federally supported research findings.</w:t>
      </w:r>
    </w:p>
    <w:p w14:paraId="4088D6EF" w14:textId="77777777" w:rsidR="00E63D8A" w:rsidRDefault="00E63D8A" w:rsidP="00E63D8A">
      <w:pPr>
        <w:pStyle w:val="NormalWeb"/>
      </w:pPr>
      <w:r>
        <w:t>Scientific meetings, publications, and other dissemination activities are essential to advancing knowledge, fostering collaboration, training the next generation of researchers, and ensuring public access to research results.</w:t>
      </w:r>
    </w:p>
    <w:p w14:paraId="5CAA710E" w14:textId="77777777" w:rsidR="00E63D8A" w:rsidRDefault="00E63D8A" w:rsidP="00E63D8A">
      <w:pPr>
        <w:pStyle w:val="NormalWeb"/>
      </w:pPr>
      <w:r>
        <w:t>Restrictions on these activities could disproportionately affect smaller organizations, emerging investigators, community-based groups, and underserved populations.</w:t>
      </w:r>
    </w:p>
    <w:p w14:paraId="11C004F3" w14:textId="77777777" w:rsidR="00E63D8A" w:rsidRDefault="00E63D8A" w:rsidP="00E63D8A">
      <w:pPr>
        <w:pStyle w:val="NormalWeb"/>
      </w:pPr>
      <w:r w:rsidRPr="00E63D8A">
        <w:rPr>
          <w:highlight w:val="yellow"/>
        </w:rPr>
        <w:t>[OPTIONAL: INSERT ORGANIZATION-SPECIFIC EXAMPLES.]</w:t>
      </w:r>
    </w:p>
    <w:p w14:paraId="0E8A901C" w14:textId="3D4549EF" w:rsidR="00E63D8A" w:rsidRPr="00E63D8A" w:rsidRDefault="00E63D8A" w:rsidP="00E63D8A">
      <w:pPr>
        <w:pStyle w:val="NormalWeb"/>
        <w:rPr>
          <w:b/>
          <w:bCs/>
        </w:rPr>
      </w:pPr>
      <w:r w:rsidRPr="00E63D8A">
        <w:rPr>
          <w:b/>
          <w:bCs/>
        </w:rPr>
        <w:t xml:space="preserve">Administrative Burden and Research Capacity </w:t>
      </w:r>
    </w:p>
    <w:p w14:paraId="74C72DA1" w14:textId="77777777" w:rsidR="00E63D8A" w:rsidRDefault="00E63D8A" w:rsidP="00E63D8A">
      <w:pPr>
        <w:pStyle w:val="NormalWeb"/>
      </w:pPr>
      <w:r>
        <w:t>We are concerned that the cumulative effect of the proposed revisions may substantially increase administrative complexity for recipients and subrecipients.</w:t>
      </w:r>
    </w:p>
    <w:p w14:paraId="182E60D1" w14:textId="77777777" w:rsidR="00E63D8A" w:rsidRDefault="00E63D8A" w:rsidP="00E63D8A">
      <w:pPr>
        <w:pStyle w:val="NormalWeb"/>
      </w:pPr>
      <w:r>
        <w:lastRenderedPageBreak/>
        <w:t>Expanded review requirements, additional compliance obligations, changes to subaward administration, and increased uncertainty regarding award management may divert resources away from mission-focused activities and public benefit.</w:t>
      </w:r>
    </w:p>
    <w:p w14:paraId="4644F7FC" w14:textId="77777777" w:rsidR="00E63D8A" w:rsidRDefault="00E63D8A" w:rsidP="00E63D8A">
      <w:pPr>
        <w:pStyle w:val="NormalWeb"/>
      </w:pPr>
      <w:r w:rsidRPr="00E63D8A">
        <w:rPr>
          <w:highlight w:val="yellow"/>
        </w:rPr>
        <w:t>[OPTIONAL: DESCRIBE HOW YOUR ORGANIZATION WOULD BE AFFECTED.]</w:t>
      </w:r>
    </w:p>
    <w:p w14:paraId="5EEA5204" w14:textId="77777777" w:rsidR="00E63D8A" w:rsidRDefault="00E63D8A" w:rsidP="00E63D8A">
      <w:pPr>
        <w:pStyle w:val="NormalWeb"/>
      </w:pPr>
      <w:r>
        <w:t>OMB should carefully evaluate the cumulative administrative burden associated with these proposals and prioritize approaches that streamline administration while maintaining accountability.</w:t>
      </w:r>
    </w:p>
    <w:p w14:paraId="5E594AA1" w14:textId="77777777" w:rsidR="00E63D8A" w:rsidRDefault="00E63D8A" w:rsidP="00E63D8A">
      <w:pPr>
        <w:pStyle w:val="NormalWeb"/>
      </w:pPr>
      <w:r>
        <w:t xml:space="preserve">Impact on </w:t>
      </w:r>
      <w:r w:rsidRPr="00E63D8A">
        <w:rPr>
          <w:highlight w:val="yellow"/>
        </w:rPr>
        <w:t>[RESEARCH FIELD / PATIENT COMMUNITY / SCIENTIFIC DISCIPLINE]</w:t>
      </w:r>
    </w:p>
    <w:p w14:paraId="2290E0E6" w14:textId="77777777" w:rsidR="00E63D8A" w:rsidRDefault="00E63D8A" w:rsidP="00E63D8A">
      <w:pPr>
        <w:pStyle w:val="NormalWeb"/>
      </w:pPr>
      <w:r w:rsidRPr="00E63D8A">
        <w:rPr>
          <w:highlight w:val="yellow"/>
        </w:rPr>
        <w:t>[MODIFY THIS SECTION TO FIT YOUR ORGANIZATION.]</w:t>
      </w:r>
    </w:p>
    <w:p w14:paraId="2B10AC4D" w14:textId="77777777" w:rsidR="00E63D8A" w:rsidRPr="00E63D8A" w:rsidRDefault="00E63D8A" w:rsidP="00E63D8A">
      <w:pPr>
        <w:pStyle w:val="NormalWeb"/>
        <w:rPr>
          <w:highlight w:val="yellow"/>
        </w:rPr>
      </w:pPr>
      <w:r>
        <w:t xml:space="preserve">The proposed changes could have significant implications for </w:t>
      </w:r>
      <w:r w:rsidRPr="00E63D8A">
        <w:rPr>
          <w:highlight w:val="yellow"/>
        </w:rPr>
        <w:t>[INSERT FIELD, DISEASE AREA, PATIENT POPULATION, RESEARCH COMMUNITY, OR MISSION AREA].</w:t>
      </w:r>
    </w:p>
    <w:p w14:paraId="3BC93DB7" w14:textId="77777777" w:rsidR="005A6103" w:rsidRDefault="00E63D8A" w:rsidP="00E63D8A">
      <w:pPr>
        <w:pStyle w:val="NormalWeb"/>
        <w:rPr>
          <w:highlight w:val="yellow"/>
        </w:rPr>
      </w:pPr>
      <w:r w:rsidRPr="00E63D8A">
        <w:rPr>
          <w:highlight w:val="yellow"/>
        </w:rPr>
        <w:t xml:space="preserve">[INSERT </w:t>
      </w:r>
      <w:r w:rsidR="005A6103">
        <w:rPr>
          <w:highlight w:val="yellow"/>
        </w:rPr>
        <w:t>3-5</w:t>
      </w:r>
      <w:r w:rsidRPr="00E63D8A">
        <w:rPr>
          <w:highlight w:val="yellow"/>
        </w:rPr>
        <w:t xml:space="preserve"> PARAGRAPHS DESCRIBING:</w:t>
      </w:r>
    </w:p>
    <w:p w14:paraId="7DD566DD" w14:textId="77777777" w:rsidR="005A6103" w:rsidRPr="005A6103" w:rsidRDefault="00E63D8A" w:rsidP="005A6103">
      <w:pPr>
        <w:pStyle w:val="NormalWeb"/>
        <w:numPr>
          <w:ilvl w:val="0"/>
          <w:numId w:val="1"/>
        </w:numPr>
      </w:pPr>
      <w:r w:rsidRPr="00E63D8A">
        <w:rPr>
          <w:highlight w:val="yellow"/>
        </w:rPr>
        <w:t>Importance of federally supported work</w:t>
      </w:r>
    </w:p>
    <w:p w14:paraId="4CBF856F" w14:textId="77777777" w:rsidR="005A6103" w:rsidRPr="005A6103" w:rsidRDefault="00E63D8A" w:rsidP="005A6103">
      <w:pPr>
        <w:pStyle w:val="NormalWeb"/>
        <w:numPr>
          <w:ilvl w:val="0"/>
          <w:numId w:val="1"/>
        </w:numPr>
      </w:pPr>
      <w:r w:rsidRPr="00E63D8A">
        <w:rPr>
          <w:highlight w:val="yellow"/>
        </w:rPr>
        <w:t>Benefits to patients or communities</w:t>
      </w:r>
    </w:p>
    <w:p w14:paraId="2295742A" w14:textId="77777777" w:rsidR="005A6103" w:rsidRPr="005A6103" w:rsidRDefault="00E63D8A" w:rsidP="005A6103">
      <w:pPr>
        <w:pStyle w:val="NormalWeb"/>
        <w:numPr>
          <w:ilvl w:val="0"/>
          <w:numId w:val="1"/>
        </w:numPr>
      </w:pPr>
      <w:r w:rsidRPr="00E63D8A">
        <w:rPr>
          <w:highlight w:val="yellow"/>
        </w:rPr>
        <w:t>Economic or workforce impacts</w:t>
      </w:r>
    </w:p>
    <w:p w14:paraId="15FB1A15" w14:textId="77777777" w:rsidR="005A6103" w:rsidRPr="005A6103" w:rsidRDefault="00E63D8A" w:rsidP="005A6103">
      <w:pPr>
        <w:pStyle w:val="NormalWeb"/>
        <w:numPr>
          <w:ilvl w:val="0"/>
          <w:numId w:val="1"/>
        </w:numPr>
      </w:pPr>
      <w:r w:rsidRPr="00E63D8A">
        <w:rPr>
          <w:highlight w:val="yellow"/>
        </w:rPr>
        <w:t>Threats posed by increased uncertainty</w:t>
      </w:r>
    </w:p>
    <w:p w14:paraId="39AECA28" w14:textId="360C6E95" w:rsidR="00E63D8A" w:rsidRDefault="00E63D8A" w:rsidP="005A6103">
      <w:pPr>
        <w:pStyle w:val="NormalWeb"/>
        <w:numPr>
          <w:ilvl w:val="0"/>
          <w:numId w:val="1"/>
        </w:numPr>
      </w:pPr>
      <w:r w:rsidRPr="00E63D8A">
        <w:rPr>
          <w:highlight w:val="yellow"/>
        </w:rPr>
        <w:t>Potential long-term consequences]</w:t>
      </w:r>
    </w:p>
    <w:p w14:paraId="018E459D" w14:textId="263238A8" w:rsidR="00E63D8A" w:rsidRPr="00E63D8A" w:rsidRDefault="00E63D8A" w:rsidP="00E63D8A">
      <w:pPr>
        <w:pStyle w:val="NormalWeb"/>
        <w:rPr>
          <w:b/>
          <w:bCs/>
        </w:rPr>
      </w:pPr>
      <w:r w:rsidRPr="00E63D8A">
        <w:rPr>
          <w:b/>
          <w:bCs/>
        </w:rPr>
        <w:t xml:space="preserve">Recommendations </w:t>
      </w:r>
    </w:p>
    <w:p w14:paraId="4A114CC9" w14:textId="77777777" w:rsidR="00E63D8A" w:rsidRDefault="00E63D8A" w:rsidP="00E63D8A">
      <w:pPr>
        <w:pStyle w:val="NormalWeb"/>
      </w:pPr>
      <w:r w:rsidRPr="00E63D8A">
        <w:rPr>
          <w:highlight w:val="yellow"/>
        </w:rPr>
        <w:t>[ORGANIZATION NAME]</w:t>
      </w:r>
      <w:r>
        <w:t xml:space="preserve"> respectfully recommends that OMB:</w:t>
      </w:r>
    </w:p>
    <w:p w14:paraId="14BB9011" w14:textId="77777777" w:rsidR="00E63D8A" w:rsidRDefault="00E63D8A" w:rsidP="00E63D8A">
      <w:pPr>
        <w:pStyle w:val="NormalWeb"/>
        <w:numPr>
          <w:ilvl w:val="0"/>
          <w:numId w:val="2"/>
        </w:numPr>
      </w:pPr>
      <w:r>
        <w:t>Preserve expert peer review and merit-based evaluation as the primary basis for funding decisions.</w:t>
      </w:r>
    </w:p>
    <w:p w14:paraId="7A92A155" w14:textId="77777777" w:rsidR="00E63D8A" w:rsidRDefault="00E63D8A" w:rsidP="00E63D8A">
      <w:pPr>
        <w:pStyle w:val="NormalWeb"/>
        <w:numPr>
          <w:ilvl w:val="0"/>
          <w:numId w:val="2"/>
        </w:numPr>
      </w:pPr>
      <w:r>
        <w:t>Ensure that any reviews conducted under §200.205 are governed by objective, transparent, and publicly available standards.</w:t>
      </w:r>
    </w:p>
    <w:p w14:paraId="66442CD1" w14:textId="77777777" w:rsidR="00E63D8A" w:rsidRDefault="00E63D8A" w:rsidP="00E63D8A">
      <w:pPr>
        <w:pStyle w:val="NormalWeb"/>
        <w:numPr>
          <w:ilvl w:val="0"/>
          <w:numId w:val="2"/>
        </w:numPr>
      </w:pPr>
      <w:r>
        <w:t>Maintain the role of specialized subject-matter expertise in funding and oversight decisions.</w:t>
      </w:r>
    </w:p>
    <w:p w14:paraId="60784031" w14:textId="77777777" w:rsidR="00E63D8A" w:rsidRDefault="00E63D8A" w:rsidP="00E63D8A">
      <w:pPr>
        <w:pStyle w:val="NormalWeb"/>
        <w:numPr>
          <w:ilvl w:val="0"/>
          <w:numId w:val="2"/>
        </w:numPr>
      </w:pPr>
      <w:r>
        <w:t>Ensure that award suspension and termination decisions are informed by appropriate expertise and objective criteria.</w:t>
      </w:r>
    </w:p>
    <w:p w14:paraId="004371B8" w14:textId="77777777" w:rsidR="00E63D8A" w:rsidRDefault="00E63D8A" w:rsidP="00E63D8A">
      <w:pPr>
        <w:pStyle w:val="NormalWeb"/>
        <w:numPr>
          <w:ilvl w:val="0"/>
          <w:numId w:val="2"/>
        </w:numPr>
      </w:pPr>
      <w:r>
        <w:t>Establish clearly defined timelines for any additional review procedures.</w:t>
      </w:r>
    </w:p>
    <w:p w14:paraId="366E521F" w14:textId="77777777" w:rsidR="00E63D8A" w:rsidRDefault="00E63D8A" w:rsidP="00E63D8A">
      <w:pPr>
        <w:pStyle w:val="NormalWeb"/>
        <w:numPr>
          <w:ilvl w:val="0"/>
          <w:numId w:val="2"/>
        </w:numPr>
      </w:pPr>
      <w:r>
        <w:t>Preserve flexible funding and subaward mechanisms that support efficient collaboration.</w:t>
      </w:r>
    </w:p>
    <w:p w14:paraId="41514488" w14:textId="77777777" w:rsidR="00E63D8A" w:rsidRDefault="00E63D8A" w:rsidP="00E63D8A">
      <w:pPr>
        <w:pStyle w:val="NormalWeb"/>
        <w:numPr>
          <w:ilvl w:val="0"/>
          <w:numId w:val="2"/>
        </w:numPr>
      </w:pPr>
      <w:r>
        <w:t>Continue to recognize conferences, publications, and dissemination activities as essential components of federally funded work.</w:t>
      </w:r>
    </w:p>
    <w:p w14:paraId="65BEF264" w14:textId="77777777" w:rsidR="00E63D8A" w:rsidRDefault="00E63D8A" w:rsidP="00E63D8A">
      <w:pPr>
        <w:pStyle w:val="NormalWeb"/>
        <w:numPr>
          <w:ilvl w:val="0"/>
          <w:numId w:val="2"/>
        </w:numPr>
      </w:pPr>
      <w:r>
        <w:t>Promote stability, predictability, and long-term investment in the research and nonprofit ecosystem.</w:t>
      </w:r>
    </w:p>
    <w:p w14:paraId="6965D020" w14:textId="77777777" w:rsidR="00E63D8A" w:rsidRDefault="00E63D8A" w:rsidP="00E63D8A">
      <w:pPr>
        <w:pStyle w:val="NormalWeb"/>
        <w:numPr>
          <w:ilvl w:val="0"/>
          <w:numId w:val="2"/>
        </w:numPr>
      </w:pPr>
      <w:r>
        <w:t>Minimize unnecessary administrative burdens.</w:t>
      </w:r>
    </w:p>
    <w:p w14:paraId="01EE47C0" w14:textId="77777777" w:rsidR="00E63D8A" w:rsidRDefault="00E63D8A" w:rsidP="00E63D8A">
      <w:pPr>
        <w:pStyle w:val="NormalWeb"/>
        <w:numPr>
          <w:ilvl w:val="0"/>
          <w:numId w:val="2"/>
        </w:numPr>
      </w:pPr>
      <w:r>
        <w:t>Ensure that oversight and risk assessment processes remain objective, measurable, transparent, and consistently applied.</w:t>
      </w:r>
    </w:p>
    <w:p w14:paraId="2D434859" w14:textId="77777777" w:rsidR="00E63D8A" w:rsidRDefault="00E63D8A" w:rsidP="00E63D8A">
      <w:pPr>
        <w:pStyle w:val="NormalWeb"/>
        <w:numPr>
          <w:ilvl w:val="0"/>
          <w:numId w:val="2"/>
        </w:numPr>
      </w:pPr>
      <w:r>
        <w:lastRenderedPageBreak/>
        <w:t>Preserve a grantmaking framework that promotes excellence, innovation, accountability, public trust, and positive outcomes.</w:t>
      </w:r>
    </w:p>
    <w:p w14:paraId="093B4FA3" w14:textId="77777777" w:rsidR="00E63D8A" w:rsidRDefault="00E63D8A" w:rsidP="00E63D8A">
      <w:pPr>
        <w:pStyle w:val="NormalWeb"/>
      </w:pPr>
      <w:r w:rsidRPr="00E63D8A">
        <w:rPr>
          <w:highlight w:val="yellow"/>
        </w:rPr>
        <w:t>[OPTIONAL: ADD ORGANIZATION-SPECIFIC RECOMMENDATIONS.]</w:t>
      </w:r>
    </w:p>
    <w:p w14:paraId="436AC767" w14:textId="77777777" w:rsidR="00E63D8A" w:rsidRPr="00E63D8A" w:rsidRDefault="00E63D8A" w:rsidP="00E63D8A">
      <w:pPr>
        <w:pStyle w:val="NormalWeb"/>
        <w:rPr>
          <w:b/>
          <w:bCs/>
        </w:rPr>
      </w:pPr>
      <w:r w:rsidRPr="00E63D8A">
        <w:rPr>
          <w:b/>
          <w:bCs/>
        </w:rPr>
        <w:t>Conclusion</w:t>
      </w:r>
    </w:p>
    <w:p w14:paraId="7270942E" w14:textId="77777777" w:rsidR="00E63D8A" w:rsidRDefault="00E63D8A" w:rsidP="00E63D8A">
      <w:pPr>
        <w:pStyle w:val="NormalWeb"/>
      </w:pPr>
      <w:r>
        <w:t>The United States has achieved global leadership in research, innovation, and public service through systems built upon expertise, merit review, accountability, transparency, collaboration, and long-term investment.</w:t>
      </w:r>
    </w:p>
    <w:p w14:paraId="63F199C7" w14:textId="77777777" w:rsidR="00E63D8A" w:rsidRDefault="00E63D8A" w:rsidP="00E63D8A">
      <w:pPr>
        <w:pStyle w:val="NormalWeb"/>
      </w:pPr>
      <w:r>
        <w:t>The goals of stewardship and accountability are important and are already supported by longstanding processes within federal agencies. Any reforms should strengthen these proven mechanisms rather than diminish the role of expertise, evidence-based decision-making, collaboration, and innovation.</w:t>
      </w:r>
    </w:p>
    <w:p w14:paraId="46A544E1" w14:textId="77777777" w:rsidR="00E63D8A" w:rsidRDefault="00E63D8A" w:rsidP="00E63D8A">
      <w:pPr>
        <w:pStyle w:val="NormalWeb"/>
      </w:pPr>
      <w:r w:rsidRPr="00E63D8A">
        <w:rPr>
          <w:highlight w:val="yellow"/>
        </w:rPr>
        <w:t>[ORGANIZATION NAME]</w:t>
      </w:r>
      <w:r>
        <w:t xml:space="preserve"> urges OMB to carefully consider the potential unintended consequences of the proposed rule and revise the proposal in ways that preserve stability, predictability, integrity, expertise, and collaboration.</w:t>
      </w:r>
    </w:p>
    <w:p w14:paraId="4D50408E" w14:textId="77777777" w:rsidR="00E63D8A" w:rsidRDefault="00E63D8A" w:rsidP="00E63D8A">
      <w:pPr>
        <w:pStyle w:val="NormalWeb"/>
      </w:pPr>
      <w:r>
        <w:t>Thank you for your consideration of these comments.</w:t>
      </w:r>
    </w:p>
    <w:p w14:paraId="1AC9791B" w14:textId="77777777" w:rsidR="00E63D8A" w:rsidRDefault="00E63D8A" w:rsidP="00E63D8A">
      <w:pPr>
        <w:pStyle w:val="NormalWeb"/>
      </w:pPr>
      <w:r>
        <w:t>Sincerely,</w:t>
      </w:r>
    </w:p>
    <w:p w14:paraId="3E37BB67" w14:textId="77777777" w:rsidR="00E63D8A" w:rsidRPr="00E63D8A" w:rsidRDefault="00E63D8A" w:rsidP="00E63D8A">
      <w:pPr>
        <w:pStyle w:val="NormalWeb"/>
        <w:rPr>
          <w:highlight w:val="yellow"/>
        </w:rPr>
      </w:pPr>
      <w:r w:rsidRPr="00E63D8A">
        <w:rPr>
          <w:highlight w:val="yellow"/>
        </w:rPr>
        <w:t>[NAME]</w:t>
      </w:r>
    </w:p>
    <w:p w14:paraId="7B1D39E7" w14:textId="77777777" w:rsidR="00E63D8A" w:rsidRPr="00E63D8A" w:rsidRDefault="00E63D8A" w:rsidP="00E63D8A">
      <w:pPr>
        <w:pStyle w:val="NormalWeb"/>
        <w:rPr>
          <w:highlight w:val="yellow"/>
        </w:rPr>
      </w:pPr>
      <w:r w:rsidRPr="00E63D8A">
        <w:rPr>
          <w:highlight w:val="yellow"/>
        </w:rPr>
        <w:t>[TITLE]</w:t>
      </w:r>
    </w:p>
    <w:p w14:paraId="2B434ACE" w14:textId="77777777" w:rsidR="00E63D8A" w:rsidRPr="00E63D8A" w:rsidRDefault="00E63D8A" w:rsidP="00E63D8A">
      <w:pPr>
        <w:pStyle w:val="NormalWeb"/>
        <w:rPr>
          <w:highlight w:val="yellow"/>
        </w:rPr>
      </w:pPr>
      <w:r w:rsidRPr="00E63D8A">
        <w:rPr>
          <w:highlight w:val="yellow"/>
        </w:rPr>
        <w:t>[ORGANIZATION]</w:t>
      </w:r>
    </w:p>
    <w:p w14:paraId="4F998C4A" w14:textId="77777777" w:rsidR="00E63D8A" w:rsidRDefault="00E63D8A" w:rsidP="00E63D8A">
      <w:pPr>
        <w:pStyle w:val="NormalWeb"/>
      </w:pPr>
      <w:r w:rsidRPr="00E63D8A">
        <w:rPr>
          <w:highlight w:val="yellow"/>
        </w:rPr>
        <w:t>[CONTACT INFORMATION]</w:t>
      </w:r>
    </w:p>
    <w:p w14:paraId="5CC14247" w14:textId="77777777" w:rsidR="00852416" w:rsidRDefault="00852416"/>
    <w:p w14:paraId="73441E3A" w14:textId="61683725" w:rsidR="00E63D8A" w:rsidRDefault="00E63D8A" w:rsidP="00E63D8A">
      <w:pPr>
        <w:jc w:val="center"/>
        <w:rPr>
          <w:color w:val="EE0000"/>
        </w:rPr>
      </w:pPr>
      <w:r w:rsidRPr="00E63D8A">
        <w:rPr>
          <w:color w:val="EE0000"/>
        </w:rPr>
        <w:t>[ADDITIONAL AREAS THAT HAVE BEEN FLAGGED BY PARTNER ORGANIZATIONS THAT YOUR ORGANIZATION MAY BE INTERESTED IN PROVIDING MORE COMMENT ON ARE INCLUDED BELOW</w:t>
      </w:r>
      <w:r>
        <w:rPr>
          <w:color w:val="EE0000"/>
        </w:rPr>
        <w:t xml:space="preserve"> FROM ELIZABETH GINEXI SUBSTACK:  </w:t>
      </w:r>
      <w:hyperlink r:id="rId8" w:history="1">
        <w:r w:rsidRPr="00E63D8A">
          <w:rPr>
            <w:rStyle w:val="Hyperlink"/>
          </w:rPr>
          <w:t>https://elizabethginexi.substack.com/p/summary-of-key-changes-in-ombs-proposed</w:t>
        </w:r>
      </w:hyperlink>
      <w:r>
        <w:rPr>
          <w:color w:val="EE0000"/>
        </w:rPr>
        <w:t>]</w:t>
      </w:r>
    </w:p>
    <w:p w14:paraId="5E3D5796" w14:textId="77777777" w:rsidR="00E63D8A" w:rsidRDefault="00E63D8A">
      <w:pPr>
        <w:rPr>
          <w:color w:val="EE0000"/>
        </w:rPr>
      </w:pPr>
      <w:r>
        <w:rPr>
          <w:color w:val="EE0000"/>
        </w:rPr>
        <w:br w:type="page"/>
      </w:r>
    </w:p>
    <w:p w14:paraId="20ADE49A" w14:textId="445C1107" w:rsidR="00E63D8A" w:rsidRPr="00E63D8A" w:rsidRDefault="00E63D8A" w:rsidP="00E63D8A">
      <w:pPr>
        <w:shd w:val="clear" w:color="auto" w:fill="FFFFFF"/>
        <w:spacing w:before="240" w:after="150" w:line="278" w:lineRule="atLeast"/>
        <w:outlineLvl w:val="1"/>
        <w:rPr>
          <w:rFonts w:eastAsia="Times New Roman"/>
          <w:b/>
          <w:color w:val="EE0000"/>
        </w:rPr>
      </w:pPr>
      <w:r w:rsidRPr="00E63D8A">
        <w:rPr>
          <w:rFonts w:eastAsia="Times New Roman"/>
          <w:b/>
          <w:color w:val="EE0000"/>
        </w:rPr>
        <w:lastRenderedPageBreak/>
        <w:br/>
        <w:t>1. Political Appointees Take Control of Grant Awards (§200.205)</w:t>
      </w:r>
      <w:r>
        <w:rPr>
          <w:rFonts w:eastAsia="Times New Roman"/>
          <w:b/>
          <w:color w:val="EE0000"/>
        </w:rPr>
        <w:t xml:space="preserve"> – </w:t>
      </w:r>
      <w:r>
        <w:rPr>
          <w:rFonts w:eastAsia="Times New Roman"/>
          <w:b/>
          <w:color w:val="EE0000"/>
          <w:highlight w:val="yellow"/>
        </w:rPr>
        <w:t>addressed in</w:t>
      </w:r>
      <w:r w:rsidRPr="00E63D8A">
        <w:rPr>
          <w:rFonts w:eastAsia="Times New Roman"/>
          <w:b/>
          <w:color w:val="EE0000"/>
          <w:highlight w:val="yellow"/>
        </w:rPr>
        <w:t xml:space="preserve"> template above</w:t>
      </w:r>
    </w:p>
    <w:p w14:paraId="4A27A9E2"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This is arguably the most consequential change in the rule. Senior political appointees, rather than career scientists or program officers, would now be required to conduct a “pre-issuance review” of every discretionary grant before it is awarded. These appointees are explicitly forbidden from deferring to peer reviewers or routinely ratifying their recommendations.</w:t>
      </w:r>
    </w:p>
    <w:p w14:paraId="6EAD16F2"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The criteria they must apply include blocking awards that touch on denial of “the sex binary in humans,” illegal immigration, or anything deemed to “promote anti-American values.” The rule also requires that discretionary awards must:</w:t>
      </w:r>
    </w:p>
    <w:p w14:paraId="01562593"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i/>
          <w:iCs/>
          <w:color w:val="EE0000"/>
        </w:rPr>
        <w:t>“...demonstrably advance the President’s policy priorities.”</w:t>
      </w:r>
    </w:p>
    <w:p w14:paraId="60EC1BD7"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In practice, this gives political appointees a veto over any science that conflicts with the current administration’s ideology.</w:t>
      </w:r>
    </w:p>
    <w:p w14:paraId="5CF50416" w14:textId="6FC07598" w:rsidR="00E63D8A" w:rsidRPr="00E63D8A" w:rsidRDefault="00E63D8A" w:rsidP="00E63D8A">
      <w:pPr>
        <w:shd w:val="clear" w:color="auto" w:fill="FFFFFF"/>
        <w:spacing w:before="240" w:after="150" w:line="278" w:lineRule="atLeast"/>
        <w:outlineLvl w:val="1"/>
        <w:rPr>
          <w:rFonts w:eastAsia="Times New Roman"/>
          <w:b/>
          <w:color w:val="EE0000"/>
        </w:rPr>
      </w:pPr>
      <w:r w:rsidRPr="00E63D8A">
        <w:rPr>
          <w:rFonts w:eastAsia="Times New Roman"/>
          <w:b/>
          <w:color w:val="EE0000"/>
        </w:rPr>
        <w:t>2. Peer Review Is No Longer Binding (§200.205(d))</w:t>
      </w:r>
      <w:r>
        <w:rPr>
          <w:rFonts w:eastAsia="Times New Roman"/>
          <w:b/>
          <w:color w:val="EE0000"/>
        </w:rPr>
        <w:t xml:space="preserve"> – </w:t>
      </w:r>
      <w:r w:rsidRPr="00E63D8A">
        <w:rPr>
          <w:rFonts w:eastAsia="Times New Roman"/>
          <w:b/>
          <w:color w:val="EE0000"/>
          <w:highlight w:val="yellow"/>
        </w:rPr>
        <w:t>addressed in template above</w:t>
      </w:r>
    </w:p>
    <w:p w14:paraId="3EAAA466"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The rule explicitly states that peer review recommendations “remain advisory and are not ministerially ratified, routinely deferred to, or otherwise treated as de facto binding.” This directly dismantles the post-WWII system used by NIH, NSF, DOE, NASA, and nearly every science agency, in which independent expert peer review was the primary measure of scientific merit. Under this rule, a political appointee can simply override the scientific community’s judgment with no finding of cause.</w:t>
      </w:r>
    </w:p>
    <w:p w14:paraId="33719FD1" w14:textId="77777777" w:rsidR="00E63D8A" w:rsidRPr="00E63D8A" w:rsidRDefault="00E63D8A" w:rsidP="00E63D8A">
      <w:pPr>
        <w:shd w:val="clear" w:color="auto" w:fill="FFFFFF"/>
        <w:spacing w:before="240" w:after="150" w:line="278" w:lineRule="atLeast"/>
        <w:outlineLvl w:val="1"/>
        <w:rPr>
          <w:rFonts w:eastAsia="Times New Roman"/>
          <w:b/>
          <w:color w:val="EE0000"/>
        </w:rPr>
      </w:pPr>
      <w:r w:rsidRPr="00E63D8A">
        <w:rPr>
          <w:rFonts w:eastAsia="Times New Roman"/>
          <w:b/>
          <w:color w:val="EE0000"/>
        </w:rPr>
        <w:t>3. “Gold Standard Science” as an Undefined Political Test (§200.205)</w:t>
      </w:r>
    </w:p>
    <w:p w14:paraId="290CE8B3"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The rule repeatedly invokes a concept called “Gold Standard Science,” tied to Executive Order 14303 of May 23, 2025, without defining it in any concrete or measurable way. Under the proposed requirements:</w:t>
      </w:r>
    </w:p>
    <w:p w14:paraId="6F47D159"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 All grants must include benchmarks for compliance with “Gold Standard Science”</w:t>
      </w:r>
    </w:p>
    <w:p w14:paraId="3137379F"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 Agencies must prioritize institutions that have “demonstrated success in implementing Gold Standard Science”</w:t>
      </w:r>
    </w:p>
    <w:p w14:paraId="2E5DA501"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lastRenderedPageBreak/>
        <w:t>• Institutional prestige and historical reputation are explicitly deprioritized in favor of compliance with this undefined standard</w:t>
      </w:r>
    </w:p>
    <w:p w14:paraId="598FF3D3"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Because the standard is never defined, the administration retains broad, unguided discretion to favor or disfavor institutions based on their political alignment.</w:t>
      </w:r>
    </w:p>
    <w:p w14:paraId="0289C50A" w14:textId="629478FA" w:rsidR="00E63D8A" w:rsidRPr="00E63D8A" w:rsidRDefault="00E63D8A" w:rsidP="00E63D8A">
      <w:pPr>
        <w:shd w:val="clear" w:color="auto" w:fill="FFFFFF"/>
        <w:spacing w:before="240" w:after="150" w:line="278" w:lineRule="atLeast"/>
        <w:outlineLvl w:val="1"/>
        <w:rPr>
          <w:rFonts w:eastAsia="Times New Roman"/>
          <w:b/>
          <w:color w:val="EE0000"/>
        </w:rPr>
      </w:pPr>
      <w:r w:rsidRPr="00E63D8A">
        <w:rPr>
          <w:rFonts w:eastAsia="Times New Roman"/>
          <w:b/>
          <w:color w:val="EE0000"/>
        </w:rPr>
        <w:t>4. Active Grants Can Be Terminated at Any Time, for Any Reason (§200.340)</w:t>
      </w:r>
      <w:r>
        <w:rPr>
          <w:rFonts w:eastAsia="Times New Roman"/>
          <w:b/>
          <w:color w:val="EE0000"/>
        </w:rPr>
        <w:t xml:space="preserve"> – </w:t>
      </w:r>
      <w:r w:rsidRPr="00E63D8A">
        <w:rPr>
          <w:rFonts w:eastAsia="Times New Roman"/>
          <w:b/>
          <w:color w:val="EE0000"/>
          <w:highlight w:val="yellow"/>
        </w:rPr>
        <w:t>addressed in template above</w:t>
      </w:r>
    </w:p>
    <w:p w14:paraId="7A58CCDF"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The rule codifies and expands the authority to terminate active grants mid-award simply because they are “inconsistent with program goals or agency priorities.” Agencies need only provide a brief written rationale; no finding of noncompliance or fraud is required. This retroactively threatens ongoing multi-year research that researchers and institutions have built programs around.</w:t>
      </w:r>
    </w:p>
    <w:p w14:paraId="3BB888B7"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 xml:space="preserve">OMB frames this as analogous to the “termination for convenience” clause used in federal contracts, but grants are fundamentally different instruments. Researchers take on staff, make commitments to participants, and design </w:t>
      </w:r>
      <w:proofErr w:type="gramStart"/>
      <w:r w:rsidRPr="00E63D8A">
        <w:rPr>
          <w:rFonts w:eastAsia="Times New Roman"/>
          <w:bCs w:val="0"/>
          <w:color w:val="EE0000"/>
        </w:rPr>
        <w:t>years</w:t>
      </w:r>
      <w:proofErr w:type="gramEnd"/>
      <w:r w:rsidRPr="00E63D8A">
        <w:rPr>
          <w:rFonts w:eastAsia="Times New Roman"/>
          <w:bCs w:val="0"/>
          <w:color w:val="EE0000"/>
        </w:rPr>
        <w:t>-long projects around the presumption that a funded grant will run its course.</w:t>
      </w:r>
    </w:p>
    <w:p w14:paraId="3161AF12" w14:textId="77777777" w:rsidR="00E63D8A" w:rsidRPr="00E63D8A" w:rsidRDefault="00E63D8A" w:rsidP="00E63D8A">
      <w:pPr>
        <w:shd w:val="clear" w:color="auto" w:fill="FFFFFF"/>
        <w:spacing w:before="240" w:after="150" w:line="278" w:lineRule="atLeast"/>
        <w:outlineLvl w:val="1"/>
        <w:rPr>
          <w:rFonts w:eastAsia="Times New Roman"/>
          <w:b/>
          <w:color w:val="EE0000"/>
        </w:rPr>
      </w:pPr>
      <w:r w:rsidRPr="00E63D8A">
        <w:rPr>
          <w:rFonts w:eastAsia="Times New Roman"/>
          <w:b/>
          <w:color w:val="EE0000"/>
        </w:rPr>
        <w:t>5. DEI, Gender Research, and Related Topics Banned as Grant Conditions (§200.300)</w:t>
      </w:r>
    </w:p>
    <w:p w14:paraId="0B86102C"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All federal award funds are prohibited from being used to “fund, promote, encourage, subsidize, or facilitate” any of the following:</w:t>
      </w:r>
    </w:p>
    <w:p w14:paraId="3127182A"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 DEI or DEIA policies or practices</w:t>
      </w:r>
    </w:p>
    <w:p w14:paraId="43D6D53B"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 “Gender ideology,” defined as any theory that “denies the biological reality of sex or the sex binary”</w:t>
      </w:r>
    </w:p>
    <w:p w14:paraId="23BF0756"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 Any assistance with gender transition for individuals under 19</w:t>
      </w:r>
    </w:p>
    <w:p w14:paraId="72892BFB"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These restrictions are embedded as mandatory grant conditions across all agencies and all programs. A university or research institution that conducts such research, even with entirely separate, non-federal funds, could face grant termination if the activity is found to conflict with award conditions.</w:t>
      </w:r>
    </w:p>
    <w:p w14:paraId="13692FCD" w14:textId="77777777" w:rsidR="00E63D8A" w:rsidRPr="00E63D8A" w:rsidRDefault="00E63D8A" w:rsidP="00E63D8A">
      <w:pPr>
        <w:shd w:val="clear" w:color="auto" w:fill="FFFFFF"/>
        <w:spacing w:before="240" w:after="150" w:line="278" w:lineRule="atLeast"/>
        <w:outlineLvl w:val="1"/>
        <w:rPr>
          <w:rFonts w:eastAsia="Times New Roman"/>
          <w:b/>
          <w:color w:val="EE0000"/>
        </w:rPr>
      </w:pPr>
      <w:r w:rsidRPr="00E63D8A">
        <w:rPr>
          <w:rFonts w:eastAsia="Times New Roman"/>
          <w:b/>
          <w:color w:val="EE0000"/>
        </w:rPr>
        <w:lastRenderedPageBreak/>
        <w:t>6. Broad Prohibition on International Scientific Collaboration (§200.220)</w:t>
      </w:r>
    </w:p>
    <w:p w14:paraId="455B8970"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A new government-wide rule prohibits the use of any federal funds, including indirect costs, for bilateral or multilateral collaboration with “covered foreign countries” or entities affiliated with them. The rule extends beyond China to all countries designated under broad sanctions lists, and covers travel, research activities, technical assistance, and indirect costs allocable to any such collaboration.</w:t>
      </w:r>
    </w:p>
    <w:p w14:paraId="63B46FD7"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While legitimate national security concerns exist with certain foreign entities, this provision is sweeping enough to severely disrupt international partnerships that have been foundational to U.S. leadership in fields from climate science and astrophysics to genomics and epidemiology.</w:t>
      </w:r>
    </w:p>
    <w:p w14:paraId="1C33895D" w14:textId="31E08418" w:rsidR="00E63D8A" w:rsidRPr="00E63D8A" w:rsidRDefault="00E63D8A" w:rsidP="00E63D8A">
      <w:pPr>
        <w:shd w:val="clear" w:color="auto" w:fill="FFFFFF"/>
        <w:spacing w:before="240" w:after="150" w:line="278" w:lineRule="atLeast"/>
        <w:outlineLvl w:val="1"/>
        <w:rPr>
          <w:rFonts w:eastAsia="Times New Roman"/>
          <w:b/>
          <w:color w:val="EE0000"/>
        </w:rPr>
      </w:pPr>
      <w:r w:rsidRPr="00E63D8A">
        <w:rPr>
          <w:rFonts w:eastAsia="Times New Roman"/>
          <w:b/>
          <w:color w:val="EE0000"/>
        </w:rPr>
        <w:t>7. “Domestic-First” Framework for Research Awards (§200.202(e))</w:t>
      </w:r>
      <w:r>
        <w:rPr>
          <w:rFonts w:eastAsia="Times New Roman"/>
          <w:b/>
          <w:color w:val="EE0000"/>
        </w:rPr>
        <w:t xml:space="preserve"> – </w:t>
      </w:r>
      <w:r w:rsidRPr="00E63D8A">
        <w:rPr>
          <w:rFonts w:eastAsia="Times New Roman"/>
          <w:b/>
          <w:color w:val="EE0000"/>
          <w:highlight w:val="yellow"/>
        </w:rPr>
        <w:t>202 addressed in template above but not this portion</w:t>
      </w:r>
    </w:p>
    <w:p w14:paraId="00296ABD"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 xml:space="preserve">A new </w:t>
      </w:r>
      <w:proofErr w:type="gramStart"/>
      <w:r w:rsidRPr="00E63D8A">
        <w:rPr>
          <w:rFonts w:eastAsia="Times New Roman"/>
          <w:bCs w:val="0"/>
          <w:color w:val="EE0000"/>
        </w:rPr>
        <w:t>domestic-first</w:t>
      </w:r>
      <w:proofErr w:type="gramEnd"/>
      <w:r w:rsidRPr="00E63D8A">
        <w:rPr>
          <w:rFonts w:eastAsia="Times New Roman"/>
          <w:bCs w:val="0"/>
          <w:color w:val="EE0000"/>
        </w:rPr>
        <w:t xml:space="preserve"> framework requires that any international element in a federally funded R&amp;D grant be affirmatively justified on a case-by-case basis by agency officials. Foreign entities cannot receive R&amp;D awards at all except with written approval from a senior political appointee. International collaboration, currently standard practice across many scientific disciplines, would become presumptively disfavored.</w:t>
      </w:r>
    </w:p>
    <w:p w14:paraId="4FF07FBE" w14:textId="23BA933B" w:rsidR="00E63D8A" w:rsidRPr="00E63D8A" w:rsidRDefault="00E63D8A" w:rsidP="00E63D8A">
      <w:pPr>
        <w:shd w:val="clear" w:color="auto" w:fill="FFFFFF"/>
        <w:spacing w:before="240" w:after="150" w:line="278" w:lineRule="atLeast"/>
        <w:outlineLvl w:val="1"/>
        <w:rPr>
          <w:rFonts w:eastAsia="Times New Roman"/>
          <w:b/>
          <w:color w:val="EE0000"/>
        </w:rPr>
      </w:pPr>
      <w:r w:rsidRPr="00E63D8A">
        <w:rPr>
          <w:rFonts w:eastAsia="Times New Roman"/>
          <w:b/>
          <w:color w:val="EE0000"/>
        </w:rPr>
        <w:t>8. Applicants Can Be Denied Based on Organizational “Affiliations” (§200.206)</w:t>
      </w:r>
      <w:r>
        <w:rPr>
          <w:rFonts w:eastAsia="Times New Roman"/>
          <w:b/>
          <w:color w:val="EE0000"/>
        </w:rPr>
        <w:t xml:space="preserve"> – </w:t>
      </w:r>
      <w:r w:rsidRPr="00E63D8A">
        <w:rPr>
          <w:rFonts w:eastAsia="Times New Roman"/>
          <w:b/>
          <w:color w:val="EE0000"/>
          <w:highlight w:val="yellow"/>
        </w:rPr>
        <w:t>addressed in template above</w:t>
      </w:r>
    </w:p>
    <w:p w14:paraId="586186DF"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The risk factors agencies may use to deny a grant application are expanded to include an applicant’s membership in or affiliation with organizations that “advocate for the overthrow of the United States Government” or “undermine public safety or national security.” Given the preamble’s expansive framing of what constitutes anti-American activity, this language could be used to disqualify researchers affiliated with civil rights, environmental, or public health advocacy organizations.</w:t>
      </w:r>
    </w:p>
    <w:p w14:paraId="308001FD" w14:textId="77777777" w:rsidR="00E63D8A" w:rsidRPr="00E63D8A" w:rsidRDefault="00E63D8A" w:rsidP="00E63D8A">
      <w:pPr>
        <w:shd w:val="clear" w:color="auto" w:fill="FFFFFF"/>
        <w:spacing w:before="240" w:after="150" w:line="278" w:lineRule="atLeast"/>
        <w:outlineLvl w:val="1"/>
        <w:rPr>
          <w:rFonts w:eastAsia="Times New Roman"/>
          <w:b/>
          <w:color w:val="EE0000"/>
        </w:rPr>
      </w:pPr>
      <w:r w:rsidRPr="00E63D8A">
        <w:rPr>
          <w:rFonts w:eastAsia="Times New Roman"/>
          <w:b/>
          <w:color w:val="EE0000"/>
        </w:rPr>
        <w:t>9. E-Verify Mandated for All Grant Recipients (§200.303)</w:t>
      </w:r>
    </w:p>
    <w:p w14:paraId="39D90CBE"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 xml:space="preserve">All recipients and subrecipients of federal awards must enroll in and use the DHS E-Verify system for every employee and contractor working on a federal award. Any Final </w:t>
      </w:r>
      <w:proofErr w:type="spellStart"/>
      <w:r w:rsidRPr="00E63D8A">
        <w:rPr>
          <w:rFonts w:eastAsia="Times New Roman"/>
          <w:bCs w:val="0"/>
          <w:color w:val="EE0000"/>
        </w:rPr>
        <w:t>Nonconfirmation</w:t>
      </w:r>
      <w:proofErr w:type="spellEnd"/>
      <w:r w:rsidRPr="00E63D8A">
        <w:rPr>
          <w:rFonts w:eastAsia="Times New Roman"/>
          <w:bCs w:val="0"/>
          <w:color w:val="EE0000"/>
        </w:rPr>
        <w:t xml:space="preserve"> must be reported to the federal agency. This adds significant administrative burden to universities and research institutions and could jeopardize grants at institutions employing researchers from abroad.</w:t>
      </w:r>
    </w:p>
    <w:p w14:paraId="56CAB9F3" w14:textId="77777777" w:rsidR="00E63D8A" w:rsidRPr="00E63D8A" w:rsidRDefault="00E63D8A" w:rsidP="00E63D8A">
      <w:pPr>
        <w:shd w:val="clear" w:color="auto" w:fill="FFFFFF"/>
        <w:spacing w:before="240" w:after="150" w:line="278" w:lineRule="atLeast"/>
        <w:outlineLvl w:val="1"/>
        <w:rPr>
          <w:rFonts w:eastAsia="Times New Roman"/>
          <w:b/>
          <w:color w:val="EE0000"/>
        </w:rPr>
      </w:pPr>
      <w:r w:rsidRPr="00E63D8A">
        <w:rPr>
          <w:rFonts w:eastAsia="Times New Roman"/>
          <w:b/>
          <w:color w:val="EE0000"/>
        </w:rPr>
        <w:lastRenderedPageBreak/>
        <w:t>10. OMB Claims Direct Binding Authority Over All Agencies</w:t>
      </w:r>
    </w:p>
    <w:p w14:paraId="3A4C92D1"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The rule restructures 2 CFR to make OMB’s guidance a directly binding regulation on all agencies, effective government-wide on a single date. This removes the previous system under which individual agencies had meaningful flexibility in adopting OMB guidance. It also eliminates the ability of individual science agencies to shield their communities from any of these changes through their own implementing rules.</w:t>
      </w:r>
    </w:p>
    <w:p w14:paraId="26A93937" w14:textId="77777777" w:rsidR="00E63D8A" w:rsidRPr="00E63D8A" w:rsidRDefault="00E63D8A" w:rsidP="00E63D8A">
      <w:pPr>
        <w:shd w:val="clear" w:color="auto" w:fill="FFFFFF"/>
        <w:spacing w:before="240" w:after="150" w:line="278" w:lineRule="atLeast"/>
        <w:outlineLvl w:val="0"/>
        <w:rPr>
          <w:rFonts w:eastAsia="Times New Roman"/>
          <w:b/>
          <w:color w:val="EE0000"/>
          <w:kern w:val="36"/>
        </w:rPr>
      </w:pPr>
      <w:r w:rsidRPr="00E63D8A">
        <w:rPr>
          <w:rFonts w:eastAsia="Times New Roman"/>
          <w:b/>
          <w:color w:val="EE0000"/>
          <w:kern w:val="36"/>
        </w:rPr>
        <w:t>Conference Attendance and Related Costs</w:t>
      </w:r>
    </w:p>
    <w:p w14:paraId="4504ABED" w14:textId="16033258" w:rsidR="00E63D8A" w:rsidRPr="00E63D8A" w:rsidRDefault="00E63D8A" w:rsidP="00E63D8A">
      <w:pPr>
        <w:shd w:val="clear" w:color="auto" w:fill="FFFFFF"/>
        <w:spacing w:before="240" w:after="150" w:line="278" w:lineRule="atLeast"/>
        <w:outlineLvl w:val="1"/>
        <w:rPr>
          <w:rFonts w:eastAsia="Times New Roman"/>
          <w:b/>
          <w:color w:val="EE0000"/>
        </w:rPr>
      </w:pPr>
      <w:r w:rsidRPr="00E63D8A">
        <w:rPr>
          <w:rFonts w:eastAsia="Times New Roman"/>
          <w:b/>
          <w:color w:val="EE0000"/>
        </w:rPr>
        <w:t>11. Conference Attendance Now Requires Express Agency Pre-Approval (§200.432)</w:t>
      </w:r>
      <w:r>
        <w:rPr>
          <w:rFonts w:eastAsia="Times New Roman"/>
          <w:b/>
          <w:color w:val="EE0000"/>
        </w:rPr>
        <w:t xml:space="preserve"> – </w:t>
      </w:r>
      <w:r w:rsidRPr="00E63D8A">
        <w:rPr>
          <w:rFonts w:eastAsia="Times New Roman"/>
          <w:b/>
          <w:color w:val="EE0000"/>
          <w:highlight w:val="yellow"/>
        </w:rPr>
        <w:t>addressed in template above</w:t>
      </w:r>
    </w:p>
    <w:p w14:paraId="5F447EBC"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Under current rules, conference attendance related to the scientific work of a grant is a standard, routine allowable cost. The proposed rule eliminates that presumption entirely. The new text states:</w:t>
      </w:r>
    </w:p>
    <w:p w14:paraId="61BED1C1"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i/>
          <w:iCs/>
          <w:color w:val="EE0000"/>
        </w:rPr>
        <w:t>“The costs for attending conferences are allowable only if participation in the conference is expressly approved by the Federal agency and included in the terms and conditions of the Federal award.”</w:t>
      </w:r>
    </w:p>
    <w:p w14:paraId="7081C2AF"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This means every conference a researcher wishes to attend using grant funds must be pre-approved by the agency and written into the award at the time it is made. Conferences not anticipated when the award was issued cannot easily be added later, and the agency has full discretion to deny approval or simply decline to include any conferences in the terms at all.</w:t>
      </w:r>
    </w:p>
    <w:p w14:paraId="3D16B128"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Conferences are where scientists present results, receive peer critique, discover new approaches, and build the collaborations that advance their fields. Giving political appointees gatekeeper authority over conference attendance is a direct tool for isolating researchers from their professional communities.</w:t>
      </w:r>
    </w:p>
    <w:p w14:paraId="2A970F7E" w14:textId="77777777" w:rsidR="00E63D8A" w:rsidRPr="00E63D8A" w:rsidRDefault="00E63D8A" w:rsidP="00E63D8A">
      <w:pPr>
        <w:shd w:val="clear" w:color="auto" w:fill="FFFFFF"/>
        <w:spacing w:before="240" w:after="150" w:line="278" w:lineRule="atLeast"/>
        <w:outlineLvl w:val="1"/>
        <w:rPr>
          <w:rFonts w:eastAsia="Times New Roman"/>
          <w:b/>
          <w:color w:val="EE0000"/>
        </w:rPr>
      </w:pPr>
      <w:r w:rsidRPr="00E63D8A">
        <w:rPr>
          <w:rFonts w:eastAsia="Times New Roman"/>
          <w:b/>
          <w:color w:val="EE0000"/>
        </w:rPr>
        <w:t>12. Professional Memberships Require Prior Approval and Must Be “Necessary” (§200.454)</w:t>
      </w:r>
    </w:p>
    <w:p w14:paraId="003A24F3"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The proposed rule makes three significant changes to allowable membership and subscription costs:</w:t>
      </w:r>
    </w:p>
    <w:p w14:paraId="51A83F64"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 xml:space="preserve">• Professional society memberships are only </w:t>
      </w:r>
      <w:proofErr w:type="gramStart"/>
      <w:r w:rsidRPr="00E63D8A">
        <w:rPr>
          <w:rFonts w:eastAsia="Times New Roman"/>
          <w:bCs w:val="0"/>
          <w:color w:val="EE0000"/>
        </w:rPr>
        <w:t>allowable</w:t>
      </w:r>
      <w:proofErr w:type="gramEnd"/>
      <w:r w:rsidRPr="00E63D8A">
        <w:rPr>
          <w:rFonts w:eastAsia="Times New Roman"/>
          <w:bCs w:val="0"/>
          <w:color w:val="EE0000"/>
        </w:rPr>
        <w:t xml:space="preserve"> if they are necessary to fulfill the award requirements and receive prior written agency approval</w:t>
      </w:r>
    </w:p>
    <w:p w14:paraId="3E94B340"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lastRenderedPageBreak/>
        <w:t>• Subscriptions to professional, academic, and technical journals are made categorically unallowable</w:t>
      </w:r>
    </w:p>
    <w:p w14:paraId="69AD70E5"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 xml:space="preserve">• Memberships in organizations whose primary purpose is </w:t>
      </w:r>
      <w:proofErr w:type="gramStart"/>
      <w:r w:rsidRPr="00E63D8A">
        <w:rPr>
          <w:rFonts w:eastAsia="Times New Roman"/>
          <w:bCs w:val="0"/>
          <w:color w:val="EE0000"/>
        </w:rPr>
        <w:t>lobbying</w:t>
      </w:r>
      <w:proofErr w:type="gramEnd"/>
      <w:r w:rsidRPr="00E63D8A">
        <w:rPr>
          <w:rFonts w:eastAsia="Times New Roman"/>
          <w:bCs w:val="0"/>
          <w:color w:val="EE0000"/>
        </w:rPr>
        <w:t xml:space="preserve"> or issue advocacy are unallowable</w:t>
      </w:r>
    </w:p>
    <w:p w14:paraId="3DD0E871"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The journal subscription ban deserves particular attention. Researchers routinely use grant funds to access the scientific literature that is foundational to their work. At institutions with constrained library budgets, this could make it genuinely difficult to conduct research.</w:t>
      </w:r>
    </w:p>
    <w:p w14:paraId="12721C6F" w14:textId="62E4667D" w:rsidR="00E63D8A" w:rsidRPr="00E63D8A" w:rsidRDefault="00E63D8A" w:rsidP="00E63D8A">
      <w:pPr>
        <w:shd w:val="clear" w:color="auto" w:fill="FFFFFF"/>
        <w:spacing w:before="240" w:after="150" w:line="278" w:lineRule="atLeast"/>
        <w:outlineLvl w:val="1"/>
        <w:rPr>
          <w:rFonts w:eastAsia="Times New Roman"/>
          <w:b/>
          <w:color w:val="EE0000"/>
        </w:rPr>
      </w:pPr>
      <w:r w:rsidRPr="00E63D8A">
        <w:rPr>
          <w:rFonts w:eastAsia="Times New Roman"/>
          <w:b/>
          <w:color w:val="EE0000"/>
        </w:rPr>
        <w:t>13. Publication Costs and Open Access Fees Presumptively Unallowable (§200.461)</w:t>
      </w:r>
      <w:r>
        <w:rPr>
          <w:rFonts w:eastAsia="Times New Roman"/>
          <w:b/>
          <w:color w:val="EE0000"/>
        </w:rPr>
        <w:t xml:space="preserve"> – </w:t>
      </w:r>
      <w:r w:rsidRPr="00E63D8A">
        <w:rPr>
          <w:rFonts w:eastAsia="Times New Roman"/>
          <w:b/>
          <w:color w:val="EE0000"/>
          <w:highlight w:val="yellow"/>
        </w:rPr>
        <w:t>addressed in template above</w:t>
      </w:r>
    </w:p>
    <w:p w14:paraId="3EB97896"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The rule proposes that all journal publication costs, including article processing charges, open access fees, and similar fees, are unallowable by default. Exceptions would require either a specific statutory mandate or case-by-case agency pre-approval. The proposed regulatory text reads:</w:t>
      </w:r>
    </w:p>
    <w:p w14:paraId="6C53D70D"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i/>
          <w:iCs/>
          <w:color w:val="EE0000"/>
        </w:rPr>
        <w:t>“Publication costs (including page charges, article processing charges (APCs), or similar fees such as open access fees for professional journal publications and other peer-reviewed publications) are unallowable under Federal awards.”</w:t>
      </w:r>
    </w:p>
    <w:p w14:paraId="676DEF47"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This directly conflicts with longstanding federal open access mandates, including the 2022 OSTP memorandum requiring that federally funded research be made publicly available. Peer-reviewed publication is the mechanism by which science is validated and shared. Making it financially prohibitive for federally funded researchers to publish their findings would effectively suppress the scientific record.</w:t>
      </w:r>
    </w:p>
    <w:p w14:paraId="7F8163A9" w14:textId="77777777" w:rsidR="00E63D8A" w:rsidRPr="00E63D8A" w:rsidRDefault="00E63D8A" w:rsidP="00E63D8A">
      <w:pPr>
        <w:shd w:val="clear" w:color="auto" w:fill="FFFFFF"/>
        <w:spacing w:before="240" w:after="150" w:line="278" w:lineRule="atLeast"/>
        <w:outlineLvl w:val="1"/>
        <w:rPr>
          <w:rFonts w:eastAsia="Times New Roman"/>
          <w:b/>
          <w:color w:val="EE0000"/>
        </w:rPr>
      </w:pPr>
      <w:r w:rsidRPr="00E63D8A">
        <w:rPr>
          <w:rFonts w:eastAsia="Times New Roman"/>
          <w:b/>
          <w:color w:val="EE0000"/>
        </w:rPr>
        <w:t>14. Public Communications and Outreach Severely Restricted (§200.421)</w:t>
      </w:r>
    </w:p>
    <w:p w14:paraId="21D947AD"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All public relations costs are proposed as unallowable except those explicitly required by statute. This would restrict researchers from communicating findings to the public or press. Combined with the issue advocacy prohibition below, it adds another layer of control over how federally funded science reaches the public.</w:t>
      </w:r>
    </w:p>
    <w:p w14:paraId="279F864D" w14:textId="77777777" w:rsidR="00E63D8A" w:rsidRPr="00E63D8A" w:rsidRDefault="00E63D8A" w:rsidP="00E63D8A">
      <w:pPr>
        <w:shd w:val="clear" w:color="auto" w:fill="FFFFFF"/>
        <w:spacing w:before="240" w:after="150" w:line="278" w:lineRule="atLeast"/>
        <w:outlineLvl w:val="1"/>
        <w:rPr>
          <w:rFonts w:eastAsia="Times New Roman"/>
          <w:b/>
          <w:color w:val="EE0000"/>
        </w:rPr>
      </w:pPr>
      <w:r w:rsidRPr="00E63D8A">
        <w:rPr>
          <w:rFonts w:eastAsia="Times New Roman"/>
          <w:b/>
          <w:color w:val="EE0000"/>
        </w:rPr>
        <w:t>15. New “Issue Advocacy” Prohibition (§200.450)</w:t>
      </w:r>
    </w:p>
    <w:p w14:paraId="2DEFF245"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Federal grant funds could not be used for:</w:t>
      </w:r>
    </w:p>
    <w:p w14:paraId="692E00AE"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lastRenderedPageBreak/>
        <w:t>• Any messaging that promotes or opposes a “particular social, political, or public policy position unrelated to the statutory objectives” of the award</w:t>
      </w:r>
    </w:p>
    <w:p w14:paraId="24DCF538"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 Voter registration activities</w:t>
      </w:r>
    </w:p>
    <w:p w14:paraId="4BB82F4C"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 Attempting to influence any state executive branch agency on matters outside the precise scope of the award</w:t>
      </w:r>
    </w:p>
    <w:p w14:paraId="73FB5B29"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Given that the rule’s preamble characterizes climate science, public health research, and equity research as “divisive ideologies,” this prohibition could be deployed to bar researchers from speaking publicly about their own federally funded findings on politically sensitive subjects.</w:t>
      </w:r>
    </w:p>
    <w:p w14:paraId="0CE52AF6" w14:textId="77777777" w:rsidR="00E63D8A" w:rsidRPr="00E63D8A" w:rsidRDefault="00E63D8A" w:rsidP="00E63D8A">
      <w:pPr>
        <w:shd w:val="clear" w:color="auto" w:fill="FFFFFF"/>
        <w:spacing w:before="240" w:after="150" w:line="278" w:lineRule="atLeast"/>
        <w:outlineLvl w:val="0"/>
        <w:rPr>
          <w:rFonts w:eastAsia="Times New Roman"/>
          <w:b/>
          <w:color w:val="EE0000"/>
          <w:kern w:val="36"/>
        </w:rPr>
      </w:pPr>
      <w:r w:rsidRPr="00E63D8A">
        <w:rPr>
          <w:rFonts w:eastAsia="Times New Roman"/>
          <w:b/>
          <w:color w:val="EE0000"/>
          <w:kern w:val="36"/>
        </w:rPr>
        <w:t>Notices of Funding Opportunities: New Restrictions and Controls</w:t>
      </w:r>
    </w:p>
    <w:p w14:paraId="4EADC49B" w14:textId="37BAC96B" w:rsidR="00E63D8A" w:rsidRPr="00E63D8A" w:rsidRDefault="00E63D8A" w:rsidP="00E63D8A">
      <w:pPr>
        <w:shd w:val="clear" w:color="auto" w:fill="FFFFFF"/>
        <w:spacing w:before="240" w:after="150" w:line="278" w:lineRule="atLeast"/>
        <w:outlineLvl w:val="1"/>
        <w:rPr>
          <w:rFonts w:eastAsia="Times New Roman"/>
          <w:b/>
          <w:color w:val="EE0000"/>
        </w:rPr>
      </w:pPr>
      <w:r w:rsidRPr="00E63D8A">
        <w:rPr>
          <w:rFonts w:eastAsia="Times New Roman"/>
          <w:b/>
          <w:color w:val="EE0000"/>
        </w:rPr>
        <w:t>16. Program Goals Must “Align with Administration Policies and Priorities” (§200.202)</w:t>
      </w:r>
      <w:r>
        <w:rPr>
          <w:rFonts w:eastAsia="Times New Roman"/>
          <w:b/>
          <w:color w:val="EE0000"/>
        </w:rPr>
        <w:t xml:space="preserve"> – </w:t>
      </w:r>
      <w:r w:rsidRPr="00E63D8A">
        <w:rPr>
          <w:rFonts w:eastAsia="Times New Roman"/>
          <w:b/>
          <w:color w:val="EE0000"/>
          <w:highlight w:val="yellow"/>
        </w:rPr>
        <w:t>addressed in template above</w:t>
      </w:r>
    </w:p>
    <w:p w14:paraId="7B5C52B6"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Every new federal grant program, including science programs, must now be designed with goals that explicitly align with administration policies and priorities. This requirement is embedded directly in the regulatory text governing program design, meaning science agencies must structure their grant solicitations around the current administration’s political agenda rather than solely around scientific need, statutory mandate, or the advice of the scientific community.</w:t>
      </w:r>
    </w:p>
    <w:p w14:paraId="1FDDF93E" w14:textId="77777777" w:rsidR="00E63D8A" w:rsidRPr="00E63D8A" w:rsidRDefault="00E63D8A" w:rsidP="00E63D8A">
      <w:pPr>
        <w:shd w:val="clear" w:color="auto" w:fill="FFFFFF"/>
        <w:spacing w:before="240" w:after="150" w:line="278" w:lineRule="atLeast"/>
        <w:outlineLvl w:val="1"/>
        <w:rPr>
          <w:rFonts w:eastAsia="Times New Roman"/>
          <w:b/>
          <w:color w:val="EE0000"/>
        </w:rPr>
      </w:pPr>
      <w:r w:rsidRPr="00E63D8A">
        <w:rPr>
          <w:rFonts w:eastAsia="Times New Roman"/>
          <w:b/>
          <w:color w:val="EE0000"/>
        </w:rPr>
        <w:t>17. Agency Heads Can Exempt Grant Competitions from Public Notice (§200.204)</w:t>
      </w:r>
    </w:p>
    <w:p w14:paraId="21AF935F"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A new exception allows a federal agency head, or their designee, to approve an exemption from the requirement to publicly post a funding opportunity on Grants.gov when “publicly announcing an opportunity would pose a risk to national security or is in the national interest of the United States.” While narrow national security carve-outs for classified defense research are legitimate, this language is considerably broader. “National interest” is a phrase this administration has used expansively, and it could justify conducting entire grant competitions outside public view.</w:t>
      </w:r>
    </w:p>
    <w:p w14:paraId="67B560CD" w14:textId="77777777" w:rsidR="00E63D8A" w:rsidRPr="00E63D8A" w:rsidRDefault="00E63D8A" w:rsidP="00E63D8A">
      <w:pPr>
        <w:shd w:val="clear" w:color="auto" w:fill="FFFFFF"/>
        <w:spacing w:before="240" w:after="150" w:line="278" w:lineRule="atLeast"/>
        <w:outlineLvl w:val="1"/>
        <w:rPr>
          <w:rFonts w:eastAsia="Times New Roman"/>
          <w:b/>
          <w:color w:val="EE0000"/>
        </w:rPr>
      </w:pPr>
      <w:r w:rsidRPr="00E63D8A">
        <w:rPr>
          <w:rFonts w:eastAsia="Times New Roman"/>
          <w:b/>
          <w:color w:val="EE0000"/>
        </w:rPr>
        <w:t>18. Agencies Can Restrict Eligibility to Specific Nonprofit Categories (§200.202(d))</w:t>
      </w:r>
    </w:p>
    <w:p w14:paraId="344F88A4"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 xml:space="preserve">Agencies can now explicitly restrict grant eligibility to specific IRS nonprofit categories, for example limiting eligibility to 501(c)(3) organizations while excluding 501(c)(4) organizations. </w:t>
      </w:r>
      <w:r w:rsidRPr="00E63D8A">
        <w:rPr>
          <w:rFonts w:eastAsia="Times New Roman"/>
          <w:bCs w:val="0"/>
          <w:color w:val="EE0000"/>
        </w:rPr>
        <w:lastRenderedPageBreak/>
        <w:t>This could be used to exclude advocacy-affiliated scientific organizations or civil society groups that conduct or fund research.</w:t>
      </w:r>
    </w:p>
    <w:p w14:paraId="6A39D231" w14:textId="77777777" w:rsidR="00E63D8A" w:rsidRPr="00E63D8A" w:rsidRDefault="00E63D8A" w:rsidP="00E63D8A">
      <w:pPr>
        <w:shd w:val="clear" w:color="auto" w:fill="FFFFFF"/>
        <w:spacing w:before="240" w:after="150" w:line="278" w:lineRule="atLeast"/>
        <w:outlineLvl w:val="1"/>
        <w:rPr>
          <w:rFonts w:eastAsia="Times New Roman"/>
          <w:b/>
          <w:color w:val="EE0000"/>
        </w:rPr>
      </w:pPr>
      <w:r w:rsidRPr="00E63D8A">
        <w:rPr>
          <w:rFonts w:eastAsia="Times New Roman"/>
          <w:b/>
          <w:color w:val="EE0000"/>
        </w:rPr>
        <w:t>19. OMB Gains Direct Oversight of Which Institutions Receive Grants</w:t>
      </w:r>
    </w:p>
    <w:p w14:paraId="4741A11B"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A new provision allows OMB to require agencies to submit reports identifying the specific recipients of federal awards over any given period. Combined with OMB’s new authority to require political alignment in program design, this gives the White House direct oversight and leverage over which institutions receive federal research funding. That function has historically been insulated from political interference, and with good reason.</w:t>
      </w:r>
    </w:p>
    <w:p w14:paraId="3BCE5396" w14:textId="77777777" w:rsidR="00E63D8A" w:rsidRPr="00E63D8A" w:rsidRDefault="00E63D8A" w:rsidP="00E63D8A">
      <w:pPr>
        <w:shd w:val="clear" w:color="auto" w:fill="FFFFFF"/>
        <w:spacing w:before="240" w:after="150" w:line="278" w:lineRule="atLeast"/>
        <w:outlineLvl w:val="0"/>
        <w:rPr>
          <w:rFonts w:eastAsia="Times New Roman"/>
          <w:b/>
          <w:color w:val="EE0000"/>
          <w:kern w:val="36"/>
        </w:rPr>
      </w:pPr>
      <w:r w:rsidRPr="00E63D8A">
        <w:rPr>
          <w:rFonts w:eastAsia="Times New Roman"/>
          <w:b/>
          <w:color w:val="EE0000"/>
          <w:kern w:val="36"/>
        </w:rPr>
        <w:t>Bottom Line</w:t>
      </w:r>
    </w:p>
    <w:p w14:paraId="756985F8"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Since World War II, the United States built the world’s preeminent scientific enterprise on a straightforward principle: federal dollars should fund the best science, as determined by independent experts rather than politicians. Peer review, open competition, and institutional autonomy were the pillars of that system. This proposed rule dismantles all three, simultaneously, government-wide, and binding on every federal agency by October 1, 2026.</w:t>
      </w:r>
    </w:p>
    <w:p w14:paraId="6C456B2F"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What OMB is proposing is not a reform of grants management. It is a complete political control apparatus layered over every stage of the federal science funding lifecycle.</w:t>
      </w:r>
    </w:p>
    <w:p w14:paraId="3E2DE016"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 </w:t>
      </w:r>
      <w:r w:rsidRPr="00E63D8A">
        <w:rPr>
          <w:rFonts w:eastAsia="Times New Roman"/>
          <w:b/>
          <w:color w:val="EE0000"/>
        </w:rPr>
        <w:t>Before a competition opens, </w:t>
      </w:r>
      <w:r w:rsidRPr="00E63D8A">
        <w:rPr>
          <w:rFonts w:eastAsia="Times New Roman"/>
          <w:bCs w:val="0"/>
          <w:color w:val="EE0000"/>
        </w:rPr>
        <w:t>every program must be designed to align with the President’s policy priorities, not scientific need, statutory mandate, or expert consensus.</w:t>
      </w:r>
    </w:p>
    <w:p w14:paraId="00FA8922"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 </w:t>
      </w:r>
      <w:r w:rsidRPr="00E63D8A">
        <w:rPr>
          <w:rFonts w:eastAsia="Times New Roman"/>
          <w:b/>
          <w:color w:val="EE0000"/>
        </w:rPr>
        <w:t>When opportunities are announced, </w:t>
      </w:r>
      <w:r w:rsidRPr="00E63D8A">
        <w:rPr>
          <w:rFonts w:eastAsia="Times New Roman"/>
          <w:bCs w:val="0"/>
          <w:color w:val="EE0000"/>
        </w:rPr>
        <w:t>agencies can restrict who is eligible, and the agency head can exempt solicitations from public posting under a broad national interest exception.</w:t>
      </w:r>
    </w:p>
    <w:p w14:paraId="266B885D"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 </w:t>
      </w:r>
      <w:r w:rsidRPr="00E63D8A">
        <w:rPr>
          <w:rFonts w:eastAsia="Times New Roman"/>
          <w:b/>
          <w:color w:val="EE0000"/>
        </w:rPr>
        <w:t>When applications are reviewed, </w:t>
      </w:r>
      <w:r w:rsidRPr="00E63D8A">
        <w:rPr>
          <w:rFonts w:eastAsia="Times New Roman"/>
          <w:bCs w:val="0"/>
          <w:color w:val="EE0000"/>
        </w:rPr>
        <w:t>political appointees must personally evaluate every discretionary grant. Peer review is explicitly reduced to advisory status. Appointees are forbidden from deferring to scientific experts.</w:t>
      </w:r>
    </w:p>
    <w:p w14:paraId="065B154E"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 </w:t>
      </w:r>
      <w:r w:rsidRPr="00E63D8A">
        <w:rPr>
          <w:rFonts w:eastAsia="Times New Roman"/>
          <w:b/>
          <w:color w:val="EE0000"/>
        </w:rPr>
        <w:t>When awards are made, </w:t>
      </w:r>
      <w:r w:rsidRPr="00E63D8A">
        <w:rPr>
          <w:rFonts w:eastAsia="Times New Roman"/>
          <w:bCs w:val="0"/>
          <w:color w:val="EE0000"/>
        </w:rPr>
        <w:t>grants can be conditioned on compliance with an undefined “Gold Standard Science” standard, and institutions can be disqualified based on their affiliations or the political character of their prior work.</w:t>
      </w:r>
    </w:p>
    <w:p w14:paraId="6F4D152E"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lastRenderedPageBreak/>
        <w:t>• </w:t>
      </w:r>
      <w:r w:rsidRPr="00E63D8A">
        <w:rPr>
          <w:rFonts w:eastAsia="Times New Roman"/>
          <w:b/>
          <w:color w:val="EE0000"/>
        </w:rPr>
        <w:t>During the research itself, </w:t>
      </w:r>
      <w:r w:rsidRPr="00E63D8A">
        <w:rPr>
          <w:rFonts w:eastAsia="Times New Roman"/>
          <w:bCs w:val="0"/>
          <w:color w:val="EE0000"/>
        </w:rPr>
        <w:t>scientists cannot attend conferences, join professional societies, subscribe to journals, or publish in peer-reviewed journals without express agency pre-approval. Each of those approvals can simply be withheld.</w:t>
      </w:r>
    </w:p>
    <w:p w14:paraId="7B3284F9"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 </w:t>
      </w:r>
      <w:r w:rsidRPr="00E63D8A">
        <w:rPr>
          <w:rFonts w:eastAsia="Times New Roman"/>
          <w:b/>
          <w:color w:val="EE0000"/>
        </w:rPr>
        <w:t>At any moment, </w:t>
      </w:r>
      <w:r w:rsidRPr="00E63D8A">
        <w:rPr>
          <w:rFonts w:eastAsia="Times New Roman"/>
          <w:bCs w:val="0"/>
          <w:color w:val="EE0000"/>
        </w:rPr>
        <w:t>an active grant, including a multi-year award already mid-project, can be terminated because a political appointee decides it no longer aligns with agency priorities. No finding of misconduct is required.</w:t>
      </w:r>
    </w:p>
    <w:p w14:paraId="5C244542"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 </w:t>
      </w:r>
      <w:r w:rsidRPr="00E63D8A">
        <w:rPr>
          <w:rFonts w:eastAsia="Times New Roman"/>
          <w:b/>
          <w:color w:val="EE0000"/>
        </w:rPr>
        <w:t>When results are ready to share, </w:t>
      </w:r>
      <w:r w:rsidRPr="00E63D8A">
        <w:rPr>
          <w:rFonts w:eastAsia="Times New Roman"/>
          <w:bCs w:val="0"/>
          <w:color w:val="EE0000"/>
        </w:rPr>
        <w:t>publication costs are presumptively unallowable, and any public communication that could be labeled issue advocacy on a sensitive topic puts the entire award at risk.</w:t>
      </w:r>
    </w:p>
    <w:p w14:paraId="7681D81B"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The rule is also notable for what it cites as justification. The preamble relies heavily on Heritage Foundation reports, partisan Senate committee documents, and White House fact sheets, rather than independent scientific or administrative assessments. It characterizes decades of peer-reviewed research on climate, public health, equity, and international collaboration as “woke,” “neo-Marxist,” “anti-American,” or “divisive ideology.” It treats the scientific community’s professional infrastructure, including conferences, journals, international partnerships, and open access publishing, as wasteful overhead to be controlled or eliminated.</w:t>
      </w:r>
    </w:p>
    <w:p w14:paraId="6E4C698F"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Congress has repeatedly appropriated funds for science agencies with the expectation that those funds would be administered through merit-based, expert-driven processes insulated from political interference. This rule attempts to override that expectation administratively, without new legislation, by repurposing OMB’s grants management authority as a vehicle for political control of science.</w:t>
      </w:r>
    </w:p>
    <w:p w14:paraId="047A866B"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
          <w:color w:val="EE0000"/>
        </w:rPr>
        <w:t>The public comment period closes approximately July 13, 2026 </w:t>
      </w:r>
      <w:r w:rsidRPr="00E63D8A">
        <w:rPr>
          <w:rFonts w:eastAsia="Times New Roman"/>
          <w:bCs w:val="0"/>
          <w:color w:val="EE0000"/>
        </w:rPr>
        <w:t>(45 days from May 29 publication). Comments must be submitted to regulations.gov, Docket OMB-2026-0034.</w:t>
      </w:r>
    </w:p>
    <w:p w14:paraId="6B8366E6" w14:textId="77777777" w:rsidR="00E63D8A" w:rsidRPr="00E63D8A" w:rsidRDefault="00E63D8A" w:rsidP="00E63D8A">
      <w:pPr>
        <w:shd w:val="clear" w:color="auto" w:fill="FFFFFF"/>
        <w:spacing w:after="300" w:line="384" w:lineRule="atLeast"/>
        <w:rPr>
          <w:rFonts w:eastAsia="Times New Roman"/>
          <w:bCs w:val="0"/>
          <w:color w:val="EE0000"/>
        </w:rPr>
      </w:pPr>
      <w:r w:rsidRPr="00E63D8A">
        <w:rPr>
          <w:rFonts w:eastAsia="Times New Roman"/>
          <w:bCs w:val="0"/>
          <w:color w:val="EE0000"/>
        </w:rPr>
        <w:t>Scientists, universities, scientific societies, patient advocacy organizations, state governments, and members of the public all have standing to comment. Given the scope of what is proposed, the breadth and volume of opposition in the formal record will matter both legally and politically.</w:t>
      </w:r>
    </w:p>
    <w:p w14:paraId="2961E8E6" w14:textId="77777777" w:rsidR="00E63D8A" w:rsidRPr="00E63D8A" w:rsidRDefault="00E63D8A">
      <w:pPr>
        <w:rPr>
          <w:color w:val="EE0000"/>
        </w:rPr>
      </w:pPr>
    </w:p>
    <w:sectPr w:rsidR="00E63D8A" w:rsidRPr="00E63D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bjektiv Mk1 Trial">
    <w:altName w:val="Calibri"/>
    <w:panose1 w:val="020B0502020204020203"/>
    <w:charset w:val="00"/>
    <w:family w:val="swiss"/>
    <w:pitch w:val="variable"/>
    <w:sig w:usb0="A00002EF" w:usb1="4000205B" w:usb2="00000008"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4072E"/>
    <w:multiLevelType w:val="hybridMultilevel"/>
    <w:tmpl w:val="5964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A6277F"/>
    <w:multiLevelType w:val="multilevel"/>
    <w:tmpl w:val="CBEE1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385456">
    <w:abstractNumId w:val="0"/>
  </w:num>
  <w:num w:numId="2" w16cid:durableId="946547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D8A"/>
    <w:rsid w:val="00002D3A"/>
    <w:rsid w:val="00003E78"/>
    <w:rsid w:val="001F6AFD"/>
    <w:rsid w:val="00316B7E"/>
    <w:rsid w:val="003904F9"/>
    <w:rsid w:val="004055EF"/>
    <w:rsid w:val="004D3A5D"/>
    <w:rsid w:val="005015E3"/>
    <w:rsid w:val="005072EC"/>
    <w:rsid w:val="005A6103"/>
    <w:rsid w:val="005F316B"/>
    <w:rsid w:val="00852416"/>
    <w:rsid w:val="00BE14AC"/>
    <w:rsid w:val="00D0428A"/>
    <w:rsid w:val="00D55C53"/>
    <w:rsid w:val="00E522FC"/>
    <w:rsid w:val="00E63D8A"/>
    <w:rsid w:val="00EC1931"/>
    <w:rsid w:val="00F26CE9"/>
    <w:rsid w:val="00F75E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A2F2"/>
  <w15:chartTrackingRefBased/>
  <w15:docId w15:val="{2A314534-E2B0-4EF3-86B7-E27D0E8D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bjektiv Mk1 Trial" w:eastAsiaTheme="minorHAnsi" w:hAnsi="Objektiv Mk1 Trial" w:cs="Objektiv Mk1 Trial"/>
        <w:bCs/>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3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3D8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D8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63D8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63D8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3D8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3D8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3D8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D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3D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3D8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D8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63D8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63D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3D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3D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3D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3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D8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D8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63D8A"/>
    <w:pPr>
      <w:spacing w:before="160"/>
      <w:jc w:val="center"/>
    </w:pPr>
    <w:rPr>
      <w:i/>
      <w:iCs/>
      <w:color w:val="404040" w:themeColor="text1" w:themeTint="BF"/>
    </w:rPr>
  </w:style>
  <w:style w:type="character" w:customStyle="1" w:styleId="QuoteChar">
    <w:name w:val="Quote Char"/>
    <w:basedOn w:val="DefaultParagraphFont"/>
    <w:link w:val="Quote"/>
    <w:uiPriority w:val="29"/>
    <w:rsid w:val="00E63D8A"/>
    <w:rPr>
      <w:i/>
      <w:iCs/>
      <w:color w:val="404040" w:themeColor="text1" w:themeTint="BF"/>
    </w:rPr>
  </w:style>
  <w:style w:type="paragraph" w:styleId="ListParagraph">
    <w:name w:val="List Paragraph"/>
    <w:basedOn w:val="Normal"/>
    <w:uiPriority w:val="34"/>
    <w:qFormat/>
    <w:rsid w:val="00E63D8A"/>
    <w:pPr>
      <w:ind w:left="720"/>
      <w:contextualSpacing/>
    </w:pPr>
  </w:style>
  <w:style w:type="character" w:styleId="IntenseEmphasis">
    <w:name w:val="Intense Emphasis"/>
    <w:basedOn w:val="DefaultParagraphFont"/>
    <w:uiPriority w:val="21"/>
    <w:qFormat/>
    <w:rsid w:val="00E63D8A"/>
    <w:rPr>
      <w:i/>
      <w:iCs/>
      <w:color w:val="0F4761" w:themeColor="accent1" w:themeShade="BF"/>
    </w:rPr>
  </w:style>
  <w:style w:type="paragraph" w:styleId="IntenseQuote">
    <w:name w:val="Intense Quote"/>
    <w:basedOn w:val="Normal"/>
    <w:next w:val="Normal"/>
    <w:link w:val="IntenseQuoteChar"/>
    <w:uiPriority w:val="30"/>
    <w:qFormat/>
    <w:rsid w:val="00E63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D8A"/>
    <w:rPr>
      <w:i/>
      <w:iCs/>
      <w:color w:val="0F4761" w:themeColor="accent1" w:themeShade="BF"/>
    </w:rPr>
  </w:style>
  <w:style w:type="character" w:styleId="IntenseReference">
    <w:name w:val="Intense Reference"/>
    <w:basedOn w:val="DefaultParagraphFont"/>
    <w:uiPriority w:val="32"/>
    <w:qFormat/>
    <w:rsid w:val="00E63D8A"/>
    <w:rPr>
      <w:b/>
      <w:bCs w:val="0"/>
      <w:smallCaps/>
      <w:color w:val="0F4761" w:themeColor="accent1" w:themeShade="BF"/>
      <w:spacing w:val="5"/>
    </w:rPr>
  </w:style>
  <w:style w:type="paragraph" w:styleId="NormalWeb">
    <w:name w:val="Normal (Web)"/>
    <w:basedOn w:val="Normal"/>
    <w:uiPriority w:val="99"/>
    <w:semiHidden/>
    <w:unhideWhenUsed/>
    <w:rsid w:val="00E63D8A"/>
    <w:pPr>
      <w:spacing w:before="100" w:beforeAutospacing="1" w:after="100" w:afterAutospacing="1" w:line="240" w:lineRule="auto"/>
    </w:pPr>
    <w:rPr>
      <w:rFonts w:ascii="Times New Roman" w:eastAsia="Times New Roman" w:hAnsi="Times New Roman" w:cs="Times New Roman"/>
      <w:bCs w:val="0"/>
      <w:sz w:val="24"/>
      <w:szCs w:val="24"/>
    </w:rPr>
  </w:style>
  <w:style w:type="character" w:styleId="Strong">
    <w:name w:val="Strong"/>
    <w:basedOn w:val="DefaultParagraphFont"/>
    <w:uiPriority w:val="22"/>
    <w:qFormat/>
    <w:rsid w:val="00E63D8A"/>
    <w:rPr>
      <w:b/>
      <w:bCs w:val="0"/>
    </w:rPr>
  </w:style>
  <w:style w:type="character" w:styleId="Emphasis">
    <w:name w:val="Emphasis"/>
    <w:basedOn w:val="DefaultParagraphFont"/>
    <w:uiPriority w:val="20"/>
    <w:qFormat/>
    <w:rsid w:val="00E63D8A"/>
    <w:rPr>
      <w:i/>
      <w:iCs/>
    </w:rPr>
  </w:style>
  <w:style w:type="character" w:styleId="Hyperlink">
    <w:name w:val="Hyperlink"/>
    <w:basedOn w:val="DefaultParagraphFont"/>
    <w:uiPriority w:val="99"/>
    <w:unhideWhenUsed/>
    <w:rsid w:val="00E63D8A"/>
    <w:rPr>
      <w:color w:val="467886" w:themeColor="hyperlink"/>
      <w:u w:val="single"/>
    </w:rPr>
  </w:style>
  <w:style w:type="character" w:styleId="UnresolvedMention">
    <w:name w:val="Unresolved Mention"/>
    <w:basedOn w:val="DefaultParagraphFont"/>
    <w:uiPriority w:val="99"/>
    <w:semiHidden/>
    <w:unhideWhenUsed/>
    <w:rsid w:val="00E63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zabethginexi.substack.com/p/summary-of-key-changes-in-ombs-proposed"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5f34c3-3c3b-4ab5-a09d-c9b442fcc7b7" xsi:nil="true"/>
    <lcf76f155ced4ddcb4097134ff3c332f xmlns="caeefea6-9df6-4ff6-9f98-2e6283677c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88B1CF00A9B34B87D02841CA738373" ma:contentTypeVersion="19" ma:contentTypeDescription="Create a new document." ma:contentTypeScope="" ma:versionID="144c1e96d5449e4cca41c9b2dfb03a27">
  <xsd:schema xmlns:xsd="http://www.w3.org/2001/XMLSchema" xmlns:xs="http://www.w3.org/2001/XMLSchema" xmlns:p="http://schemas.microsoft.com/office/2006/metadata/properties" xmlns:ns2="caeefea6-9df6-4ff6-9f98-2e6283677c3d" xmlns:ns3="725f34c3-3c3b-4ab5-a09d-c9b442fcc7b7" targetNamespace="http://schemas.microsoft.com/office/2006/metadata/properties" ma:root="true" ma:fieldsID="46ccab8615fbe13729f9cb1f92ede4ec" ns2:_="" ns3:_="">
    <xsd:import namespace="caeefea6-9df6-4ff6-9f98-2e6283677c3d"/>
    <xsd:import namespace="725f34c3-3c3b-4ab5-a09d-c9b442fcc7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efea6-9df6-4ff6-9f98-2e6283677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6338b8-b3a7-4941-95ef-e444c73a70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5f34c3-3c3b-4ab5-a09d-c9b442fcc7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0eea31-6828-4f9b-8dd7-70a92284f8fb}" ma:internalName="TaxCatchAll" ma:showField="CatchAllData" ma:web="725f34c3-3c3b-4ab5-a09d-c9b442fcc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5D92C6-3A7E-4866-B2A2-B8D9D8C970A1}">
  <ds:schemaRefs>
    <ds:schemaRef ds:uri="http://schemas.microsoft.com/sharepoint/v3/contenttype/forms"/>
  </ds:schemaRefs>
</ds:datastoreItem>
</file>

<file path=customXml/itemProps2.xml><?xml version="1.0" encoding="utf-8"?>
<ds:datastoreItem xmlns:ds="http://schemas.openxmlformats.org/officeDocument/2006/customXml" ds:itemID="{50E4D8F3-8594-48D8-9AA0-ADD433CE7FD9}">
  <ds:schemaRefs>
    <ds:schemaRef ds:uri="http://schemas.microsoft.com/office/2006/metadata/properties"/>
    <ds:schemaRef ds:uri="http://schemas.microsoft.com/office/infopath/2007/PartnerControls"/>
    <ds:schemaRef ds:uri="725f34c3-3c3b-4ab5-a09d-c9b442fcc7b7"/>
    <ds:schemaRef ds:uri="caeefea6-9df6-4ff6-9f98-2e6283677c3d"/>
  </ds:schemaRefs>
</ds:datastoreItem>
</file>

<file path=customXml/itemProps3.xml><?xml version="1.0" encoding="utf-8"?>
<ds:datastoreItem xmlns:ds="http://schemas.openxmlformats.org/officeDocument/2006/customXml" ds:itemID="{31534773-57C7-4625-8289-27B2F4D63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efea6-9df6-4ff6-9f98-2e6283677c3d"/>
    <ds:schemaRef ds:uri="725f34c3-3c3b-4ab5-a09d-c9b442fcc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3899</Words>
  <Characters>25034</Characters>
  <Application>Microsoft Office Word</Application>
  <DocSecurity>4</DocSecurity>
  <Lines>596</Lines>
  <Paragraphs>431</Paragraphs>
  <ScaleCrop>false</ScaleCrop>
  <Company/>
  <LinksUpToDate>false</LinksUpToDate>
  <CharactersWithSpaces>28502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Ignaszewski</dc:creator>
  <cp:keywords/>
  <dc:description/>
  <cp:lastModifiedBy>Judith Hill</cp:lastModifiedBy>
  <cp:revision>2</cp:revision>
  <dcterms:created xsi:type="dcterms:W3CDTF">2026-06-17T13:53:00Z</dcterms:created>
  <dcterms:modified xsi:type="dcterms:W3CDTF">2026-06-17T13:53:00Z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0x0101004C88B1CF00A9B34B87D02841CA738373</vt:lpwstr>
  </property>
  <property fmtid="{D5CDD505-2E9C-101B-9397-08002B2CF9AE}" pid="3" name="MediaServiceImageTags">
    <vt:lpwstr/>
  </property>
  <property fmtid="{D5CDD505-2E9C-101B-9397-08002B2CF9AE}" pid="4" name="GrammarlyDocumentId">
    <vt:lpwstr>34179e6c-b564-4504-93aa-78fbfcce2870</vt:lpwstr>
  </property>
</Properties>
</file>