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7909" w14:textId="77777777" w:rsidR="00733309" w:rsidRPr="00733309" w:rsidRDefault="005B70E6" w:rsidP="00D762BE">
      <w:pPr>
        <w:spacing w:before="100" w:beforeAutospacing="1" w:after="100" w:afterAutospacing="1" w:line="240" w:lineRule="auto"/>
        <w:ind w:right="-270"/>
        <w:outlineLvl w:val="0"/>
        <w:rPr>
          <w:rFonts w:eastAsia="Times New Roman"/>
          <w:bCs w:val="0"/>
          <w:sz w:val="22"/>
          <w:szCs w:val="22"/>
        </w:rPr>
      </w:pPr>
      <w:r w:rsidRPr="00D762BE">
        <w:rPr>
          <w:rFonts w:eastAsia="Times New Roman"/>
          <w:b/>
          <w:kern w:val="36"/>
          <w:sz w:val="32"/>
          <w:szCs w:val="32"/>
        </w:rPr>
        <w:t>Guidance for Organizations Submitting Comments to OMB</w:t>
      </w:r>
      <w:r w:rsidR="00F7089D">
        <w:rPr>
          <w:rFonts w:eastAsia="Times New Roman"/>
          <w:b/>
          <w:kern w:val="36"/>
          <w:sz w:val="22"/>
          <w:szCs w:val="22"/>
        </w:rPr>
        <w:br/>
      </w:r>
      <w:r w:rsidR="005038FC">
        <w:rPr>
          <w:rFonts w:eastAsia="Times New Roman"/>
          <w:bCs w:val="0"/>
          <w:sz w:val="22"/>
          <w:szCs w:val="22"/>
        </w:rPr>
        <w:br/>
      </w:r>
      <w:r w:rsidR="00733309" w:rsidRPr="00733309">
        <w:rPr>
          <w:rFonts w:eastAsia="Times New Roman"/>
          <w:bCs w:val="0"/>
          <w:sz w:val="22"/>
          <w:szCs w:val="22"/>
        </w:rPr>
        <w:t>Thank you for joining Alliance for Vision Research and partners across the research community in protecting the integrity of the federal research enterprise.</w:t>
      </w:r>
    </w:p>
    <w:p w14:paraId="47620F3B" w14:textId="2BCB506D"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This</w:t>
      </w:r>
      <w:r>
        <w:rPr>
          <w:rFonts w:eastAsia="Times New Roman"/>
          <w:bCs w:val="0"/>
          <w:sz w:val="22"/>
          <w:szCs w:val="22"/>
        </w:rPr>
        <w:t xml:space="preserve"> document is</w:t>
      </w:r>
      <w:r w:rsidRPr="00733309">
        <w:rPr>
          <w:rFonts w:eastAsia="Times New Roman"/>
          <w:bCs w:val="0"/>
          <w:sz w:val="22"/>
          <w:szCs w:val="22"/>
        </w:rPr>
        <w:t xml:space="preserve"> intended to serve as a resource and starting point for your organization's comments. We strongly encourage organizations to customize the document rather than submit it verbatim.</w:t>
      </w:r>
    </w:p>
    <w:p w14:paraId="17EF36C8" w14:textId="77777777"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OMB has indicated that "identical or substantially similar" submissions may be grouped together and not counted individually. For this reason, organizations should tailor their comments to reflect their unique mission, stakeholders, experiences, and concerns.</w:t>
      </w:r>
    </w:p>
    <w:p w14:paraId="4F156328" w14:textId="77777777"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
          <w:sz w:val="22"/>
          <w:szCs w:val="22"/>
        </w:rPr>
        <w:t>Comments must be submitted to OMB no later than July 13 at 11:59 p.m. EDT.</w:t>
      </w:r>
    </w:p>
    <w:p w14:paraId="7E83030C" w14:textId="1EC0CF9D"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Comment submissions can be made here:</w:t>
      </w:r>
      <w:r w:rsidR="00D762BE">
        <w:rPr>
          <w:rFonts w:eastAsia="Times New Roman"/>
          <w:bCs w:val="0"/>
          <w:sz w:val="22"/>
          <w:szCs w:val="22"/>
        </w:rPr>
        <w:t xml:space="preserve"> </w:t>
      </w:r>
      <w:hyperlink r:id="rId10" w:history="1">
        <w:r w:rsidRPr="00D762BE">
          <w:rPr>
            <w:rStyle w:val="Hyperlink"/>
            <w:rFonts w:eastAsia="Times New Roman"/>
            <w:b/>
            <w:color w:val="0000FF"/>
            <w:sz w:val="22"/>
            <w:szCs w:val="22"/>
          </w:rPr>
          <w:t>OMB Comment Link</w:t>
        </w:r>
      </w:hyperlink>
    </w:p>
    <w:p w14:paraId="0318E1FF" w14:textId="77777777"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We also encourage organizations to review the accompanying FAQ document for additional background and context.</w:t>
      </w:r>
    </w:p>
    <w:p w14:paraId="6CA296C7" w14:textId="77777777" w:rsidR="00733309" w:rsidRPr="00D762BE" w:rsidRDefault="00733309" w:rsidP="00733309">
      <w:pPr>
        <w:spacing w:before="100" w:beforeAutospacing="1" w:after="100" w:afterAutospacing="1" w:line="240" w:lineRule="auto"/>
        <w:outlineLvl w:val="0"/>
        <w:rPr>
          <w:rFonts w:eastAsia="Times New Roman"/>
          <w:b/>
          <w:sz w:val="28"/>
          <w:szCs w:val="28"/>
        </w:rPr>
      </w:pPr>
      <w:r w:rsidRPr="00D762BE">
        <w:rPr>
          <w:rFonts w:eastAsia="Times New Roman"/>
          <w:b/>
          <w:sz w:val="28"/>
          <w:szCs w:val="28"/>
        </w:rPr>
        <w:t>Recommendations for Partner Organizations</w:t>
      </w:r>
    </w:p>
    <w:p w14:paraId="0E97168F" w14:textId="6D8E8763"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1. Personalize Your Introduction</w:t>
      </w:r>
      <w:r>
        <w:rPr>
          <w:rFonts w:eastAsia="Times New Roman"/>
          <w:b/>
          <w:sz w:val="22"/>
          <w:szCs w:val="22"/>
        </w:rPr>
        <w:br/>
      </w:r>
      <w:r w:rsidRPr="00733309">
        <w:rPr>
          <w:rFonts w:eastAsia="Times New Roman"/>
          <w:bCs w:val="0"/>
          <w:sz w:val="22"/>
          <w:szCs w:val="22"/>
        </w:rPr>
        <w:t>Briefly describe your organization, the community you serve, and the role federally funded research plays in advancing your mission.</w:t>
      </w:r>
    </w:p>
    <w:p w14:paraId="743B6841" w14:textId="1F05F7BA"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2. Focus on the Issues Most Relevant to Your Organization</w:t>
      </w:r>
      <w:r>
        <w:rPr>
          <w:rFonts w:eastAsia="Times New Roman"/>
          <w:b/>
          <w:sz w:val="22"/>
          <w:szCs w:val="22"/>
        </w:rPr>
        <w:br/>
      </w:r>
      <w:r w:rsidRPr="00733309">
        <w:rPr>
          <w:rFonts w:eastAsia="Times New Roman"/>
          <w:bCs w:val="0"/>
          <w:sz w:val="22"/>
          <w:szCs w:val="22"/>
        </w:rPr>
        <w:t>You do not need to address every provision in the proposed rule. We encourage organizations to focus on the sections most relevant to their stakeholders, areas of expertise, and mission.</w:t>
      </w:r>
    </w:p>
    <w:p w14:paraId="261B7BB4" w14:textId="77777777"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Feel free to delete sections that are not applicable or supplement the template with additional examples and concerns.</w:t>
      </w:r>
    </w:p>
    <w:p w14:paraId="580913BB" w14:textId="724F1926"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3. Include Organization-Specific Examples</w:t>
      </w:r>
      <w:r>
        <w:rPr>
          <w:rFonts w:eastAsia="Times New Roman"/>
          <w:b/>
          <w:sz w:val="22"/>
          <w:szCs w:val="22"/>
        </w:rPr>
        <w:br/>
        <w:t>“</w:t>
      </w:r>
      <w:r w:rsidRPr="00733309">
        <w:rPr>
          <w:rFonts w:eastAsia="Times New Roman"/>
          <w:bCs w:val="0"/>
          <w:sz w:val="22"/>
          <w:szCs w:val="22"/>
        </w:rPr>
        <w:t>The most effective comments provide real-world examples of how federally funded research supports your work and the communities you serve.</w:t>
      </w:r>
    </w:p>
    <w:p w14:paraId="04380507" w14:textId="77777777" w:rsidR="00733309" w:rsidRDefault="00733309" w:rsidP="00733309">
      <w:pPr>
        <w:spacing w:before="100" w:beforeAutospacing="1" w:after="100" w:afterAutospacing="1" w:line="240" w:lineRule="auto"/>
        <w:outlineLvl w:val="0"/>
        <w:rPr>
          <w:rFonts w:eastAsia="Times New Roman"/>
          <w:bCs w:val="0"/>
          <w:sz w:val="22"/>
          <w:szCs w:val="22"/>
        </w:rPr>
      </w:pPr>
    </w:p>
    <w:p w14:paraId="6F46D54E" w14:textId="5F84C9A1"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lastRenderedPageBreak/>
        <w:t>Examples may include:</w:t>
      </w:r>
    </w:p>
    <w:p w14:paraId="0B721284" w14:textId="77777777" w:rsidR="00733309" w:rsidRPr="00733309" w:rsidRDefault="00733309" w:rsidP="00733309">
      <w:pPr>
        <w:numPr>
          <w:ilvl w:val="0"/>
          <w:numId w:val="3"/>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Research breakthroughs supported by federal funding</w:t>
      </w:r>
    </w:p>
    <w:p w14:paraId="323D0B20" w14:textId="77777777" w:rsidR="00733309" w:rsidRPr="00733309" w:rsidRDefault="00733309" w:rsidP="00733309">
      <w:pPr>
        <w:numPr>
          <w:ilvl w:val="0"/>
          <w:numId w:val="3"/>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Patient outcomes and public health benefits</w:t>
      </w:r>
    </w:p>
    <w:p w14:paraId="6AE094CD" w14:textId="77777777" w:rsidR="00733309" w:rsidRPr="00733309" w:rsidRDefault="00733309" w:rsidP="00733309">
      <w:pPr>
        <w:numPr>
          <w:ilvl w:val="0"/>
          <w:numId w:val="3"/>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Workforce development and training programs</w:t>
      </w:r>
    </w:p>
    <w:p w14:paraId="44B975EE" w14:textId="77777777" w:rsidR="00733309" w:rsidRPr="00733309" w:rsidRDefault="00733309" w:rsidP="00733309">
      <w:pPr>
        <w:numPr>
          <w:ilvl w:val="0"/>
          <w:numId w:val="3"/>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Scientific collaboration and research partnerships</w:t>
      </w:r>
    </w:p>
    <w:p w14:paraId="19EE163D" w14:textId="77777777" w:rsidR="00733309" w:rsidRPr="00733309" w:rsidRDefault="00733309" w:rsidP="00733309">
      <w:pPr>
        <w:numPr>
          <w:ilvl w:val="0"/>
          <w:numId w:val="3"/>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Economic and community impacts</w:t>
      </w:r>
    </w:p>
    <w:p w14:paraId="5DD7CF6A" w14:textId="77777777" w:rsidR="00733309" w:rsidRPr="00733309" w:rsidRDefault="00733309" w:rsidP="00733309">
      <w:pPr>
        <w:numPr>
          <w:ilvl w:val="0"/>
          <w:numId w:val="3"/>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Potential effects of delays, uncertainty, or increased administrative burden</w:t>
      </w:r>
    </w:p>
    <w:p w14:paraId="2FCD4BEE" w14:textId="06095E32"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4. Describe the Impact on Your Community</w:t>
      </w:r>
      <w:r>
        <w:rPr>
          <w:rFonts w:eastAsia="Times New Roman"/>
          <w:b/>
          <w:sz w:val="22"/>
          <w:szCs w:val="22"/>
        </w:rPr>
        <w:br/>
      </w:r>
      <w:r w:rsidRPr="00733309">
        <w:rPr>
          <w:rFonts w:eastAsia="Times New Roman"/>
          <w:bCs w:val="0"/>
          <w:sz w:val="22"/>
          <w:szCs w:val="22"/>
        </w:rPr>
        <w:t>Explain how the proposed changes could affect the patients, researchers, clinicians, institutions, students, trainees, advocates, or communities your organization represents.</w:t>
      </w:r>
    </w:p>
    <w:p w14:paraId="3C387A25" w14:textId="1452687D"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5. Address Additional Concerns</w:t>
      </w:r>
      <w:r>
        <w:rPr>
          <w:rFonts w:eastAsia="Times New Roman"/>
          <w:b/>
          <w:sz w:val="22"/>
          <w:szCs w:val="22"/>
        </w:rPr>
        <w:br/>
      </w:r>
      <w:r w:rsidRPr="00733309">
        <w:rPr>
          <w:rFonts w:eastAsia="Times New Roman"/>
          <w:bCs w:val="0"/>
          <w:sz w:val="22"/>
          <w:szCs w:val="22"/>
        </w:rPr>
        <w:t>The template focuses primarily on issues affecting biomedical and vision research, but organizations should feel free to raise other concerns relevant to their mission and stakeholders.</w:t>
      </w:r>
    </w:p>
    <w:p w14:paraId="2D700858" w14:textId="6345081D"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Issues Organizations May Wish to Highlight</w:t>
      </w:r>
      <w:r>
        <w:rPr>
          <w:rFonts w:eastAsia="Times New Roman"/>
          <w:b/>
          <w:sz w:val="22"/>
          <w:szCs w:val="22"/>
        </w:rPr>
        <w:br/>
      </w:r>
      <w:r w:rsidRPr="00733309">
        <w:rPr>
          <w:rFonts w:eastAsia="Times New Roman"/>
          <w:bCs w:val="0"/>
          <w:sz w:val="22"/>
          <w:szCs w:val="22"/>
        </w:rPr>
        <w:t>Depending on your mission, you may wish to place greater emphasis on:</w:t>
      </w:r>
    </w:p>
    <w:p w14:paraId="3DFCF029"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The expanded role of political appointees in funding decisions</w:t>
      </w:r>
    </w:p>
    <w:p w14:paraId="2B9626B8"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The reduced role of independent scientific peer review</w:t>
      </w:r>
    </w:p>
    <w:p w14:paraId="3A5821CF"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Increased authority to modify or terminate active grants</w:t>
      </w:r>
    </w:p>
    <w:p w14:paraId="6215C82E"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Restrictions affecting scientific conferences, publications, and dissemination of research findings</w:t>
      </w:r>
    </w:p>
    <w:p w14:paraId="78AD7F93"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New barriers to collaboration and research partnerships</w:t>
      </w:r>
    </w:p>
    <w:p w14:paraId="330415B3"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Additional administrative and compliance burdens</w:t>
      </w:r>
    </w:p>
    <w:p w14:paraId="3EC15210" w14:textId="77777777" w:rsidR="00733309" w:rsidRPr="00733309" w:rsidRDefault="00733309" w:rsidP="00733309">
      <w:pPr>
        <w:numPr>
          <w:ilvl w:val="0"/>
          <w:numId w:val="4"/>
        </w:num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Potential impacts on scientific innovation, workforce development, public health, and patient outcomes</w:t>
      </w:r>
    </w:p>
    <w:p w14:paraId="6020C00E" w14:textId="76EF9308" w:rsidR="00733309" w:rsidRPr="00733309" w:rsidRDefault="00733309" w:rsidP="00733309">
      <w:pPr>
        <w:spacing w:before="100" w:beforeAutospacing="1" w:after="100" w:afterAutospacing="1" w:line="240" w:lineRule="auto"/>
        <w:outlineLvl w:val="0"/>
        <w:rPr>
          <w:rFonts w:eastAsia="Times New Roman"/>
          <w:b/>
          <w:sz w:val="22"/>
          <w:szCs w:val="22"/>
        </w:rPr>
      </w:pPr>
      <w:r w:rsidRPr="00733309">
        <w:rPr>
          <w:rFonts w:eastAsia="Times New Roman"/>
          <w:b/>
          <w:sz w:val="22"/>
          <w:szCs w:val="22"/>
        </w:rPr>
        <w:t>Strong Comments Are Specific</w:t>
      </w:r>
      <w:r>
        <w:rPr>
          <w:rFonts w:eastAsia="Times New Roman"/>
          <w:b/>
          <w:sz w:val="22"/>
          <w:szCs w:val="22"/>
        </w:rPr>
        <w:br/>
      </w:r>
      <w:r w:rsidRPr="00733309">
        <w:rPr>
          <w:rFonts w:eastAsia="Times New Roman"/>
          <w:bCs w:val="0"/>
          <w:sz w:val="22"/>
          <w:szCs w:val="22"/>
        </w:rPr>
        <w:t>The most impactful comments explain not only what provisions are concerning, but why those provisions matter.</w:t>
      </w:r>
    </w:p>
    <w:p w14:paraId="6374BC4A" w14:textId="77777777"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Whenever possible, provide concrete examples from your organization's experience and explain the potential consequences for the individuals and communities you serve.</w:t>
      </w:r>
    </w:p>
    <w:p w14:paraId="10684F9B" w14:textId="76E63317" w:rsidR="00733309"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lastRenderedPageBreak/>
        <w:t>The goal is not to generate identical comments. The goal is to demonstrate the broad and diverse ways these proposed changes could affect researchers, patients, clinicians, academic institutions, nonprofits, industry partners, and the scientific enterprise.</w:t>
      </w:r>
    </w:p>
    <w:p w14:paraId="6C3D0256" w14:textId="2E7028D0" w:rsidR="00852416" w:rsidRPr="00733309" w:rsidRDefault="00733309" w:rsidP="00733309">
      <w:pPr>
        <w:spacing w:before="100" w:beforeAutospacing="1" w:after="100" w:afterAutospacing="1" w:line="240" w:lineRule="auto"/>
        <w:outlineLvl w:val="0"/>
        <w:rPr>
          <w:rFonts w:eastAsia="Times New Roman"/>
          <w:bCs w:val="0"/>
          <w:sz w:val="22"/>
          <w:szCs w:val="22"/>
        </w:rPr>
      </w:pPr>
      <w:r w:rsidRPr="00733309">
        <w:rPr>
          <w:rFonts w:eastAsia="Times New Roman"/>
          <w:bCs w:val="0"/>
          <w:sz w:val="22"/>
          <w:szCs w:val="22"/>
        </w:rPr>
        <w:t>Together, our collective voices can help ensure that research funding decisions continue to be guided by scientific merit, rigorous peer review, transparency, and the needs of patients.</w:t>
      </w:r>
    </w:p>
    <w:sectPr w:rsidR="00852416" w:rsidRPr="00733309" w:rsidSect="00F7089D">
      <w:headerReference w:type="default" r:id="rId11"/>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0256" w14:textId="77777777" w:rsidR="00323B67" w:rsidRDefault="00323B67" w:rsidP="00F7089D">
      <w:pPr>
        <w:spacing w:after="0" w:line="240" w:lineRule="auto"/>
      </w:pPr>
      <w:r>
        <w:separator/>
      </w:r>
    </w:p>
  </w:endnote>
  <w:endnote w:type="continuationSeparator" w:id="0">
    <w:p w14:paraId="259C43F3" w14:textId="77777777" w:rsidR="00323B67" w:rsidRDefault="00323B67" w:rsidP="00F7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bjektiv Mk1 Trial">
    <w:altName w:val="Calibri"/>
    <w:panose1 w:val="020B0502020204020203"/>
    <w:charset w:val="00"/>
    <w:family w:val="swiss"/>
    <w:pitch w:val="variable"/>
    <w:sig w:usb0="A00002EF" w:usb1="4000205B" w:usb2="00000008"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E024" w14:textId="77777777" w:rsidR="00323B67" w:rsidRDefault="00323B67" w:rsidP="00F7089D">
      <w:pPr>
        <w:spacing w:after="0" w:line="240" w:lineRule="auto"/>
      </w:pPr>
      <w:r>
        <w:separator/>
      </w:r>
    </w:p>
  </w:footnote>
  <w:footnote w:type="continuationSeparator" w:id="0">
    <w:p w14:paraId="4B8A49A1" w14:textId="77777777" w:rsidR="00323B67" w:rsidRDefault="00323B67" w:rsidP="00F7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4ACB" w14:textId="5029E403" w:rsidR="00F7089D" w:rsidRDefault="00F7089D" w:rsidP="00F7089D">
    <w:pPr>
      <w:pStyle w:val="Header"/>
      <w:jc w:val="right"/>
    </w:pPr>
    <w:r>
      <w:rPr>
        <w:noProof/>
      </w:rPr>
      <w:drawing>
        <wp:inline distT="0" distB="0" distL="0" distR="0" wp14:anchorId="721D292B" wp14:editId="63C14DE8">
          <wp:extent cx="2056130" cy="502390"/>
          <wp:effectExtent l="0" t="0" r="1270" b="0"/>
          <wp:docPr id="448539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39087" name="Picture 448539087"/>
                  <pic:cNvPicPr/>
                </pic:nvPicPr>
                <pic:blipFill>
                  <a:blip r:embed="rId1">
                    <a:extLst>
                      <a:ext uri="{28A0092B-C50C-407E-A947-70E740481C1C}">
                        <a14:useLocalDpi xmlns:a14="http://schemas.microsoft.com/office/drawing/2010/main" val="0"/>
                      </a:ext>
                    </a:extLst>
                  </a:blip>
                  <a:stretch>
                    <a:fillRect/>
                  </a:stretch>
                </pic:blipFill>
                <pic:spPr>
                  <a:xfrm>
                    <a:off x="0" y="0"/>
                    <a:ext cx="2078984" cy="507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57C"/>
    <w:multiLevelType w:val="multilevel"/>
    <w:tmpl w:val="11FE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848A3"/>
    <w:multiLevelType w:val="multilevel"/>
    <w:tmpl w:val="C22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01053"/>
    <w:multiLevelType w:val="multilevel"/>
    <w:tmpl w:val="DAC4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F55F6"/>
    <w:multiLevelType w:val="multilevel"/>
    <w:tmpl w:val="F292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71372">
    <w:abstractNumId w:val="2"/>
  </w:num>
  <w:num w:numId="2" w16cid:durableId="346568793">
    <w:abstractNumId w:val="1"/>
  </w:num>
  <w:num w:numId="3" w16cid:durableId="622999345">
    <w:abstractNumId w:val="3"/>
  </w:num>
  <w:num w:numId="4" w16cid:durableId="180219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E6"/>
    <w:rsid w:val="00002D3A"/>
    <w:rsid w:val="00003E78"/>
    <w:rsid w:val="00032A86"/>
    <w:rsid w:val="001F6AFD"/>
    <w:rsid w:val="00323B67"/>
    <w:rsid w:val="004A48CF"/>
    <w:rsid w:val="005015E3"/>
    <w:rsid w:val="005038FC"/>
    <w:rsid w:val="005072EC"/>
    <w:rsid w:val="005B70E6"/>
    <w:rsid w:val="00733309"/>
    <w:rsid w:val="00852416"/>
    <w:rsid w:val="00B600DC"/>
    <w:rsid w:val="00D0428A"/>
    <w:rsid w:val="00D55C53"/>
    <w:rsid w:val="00D762BE"/>
    <w:rsid w:val="00E522FC"/>
    <w:rsid w:val="00EF60B8"/>
    <w:rsid w:val="00F26CE9"/>
    <w:rsid w:val="00F7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254F"/>
  <w15:chartTrackingRefBased/>
  <w15:docId w15:val="{EDDE765A-8C61-7541-9C12-2A2C164A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bjektiv Mk1 Trial" w:eastAsiaTheme="minorHAnsi" w:hAnsi="Objektiv Mk1 Trial" w:cs="Objektiv Mk1 Trial"/>
        <w:bCs/>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70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0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70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70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70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70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70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70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0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70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70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70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70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70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0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0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70E6"/>
    <w:pPr>
      <w:spacing w:before="160"/>
      <w:jc w:val="center"/>
    </w:pPr>
    <w:rPr>
      <w:i/>
      <w:iCs/>
      <w:color w:val="404040" w:themeColor="text1" w:themeTint="BF"/>
    </w:rPr>
  </w:style>
  <w:style w:type="character" w:customStyle="1" w:styleId="QuoteChar">
    <w:name w:val="Quote Char"/>
    <w:basedOn w:val="DefaultParagraphFont"/>
    <w:link w:val="Quote"/>
    <w:uiPriority w:val="29"/>
    <w:rsid w:val="005B70E6"/>
    <w:rPr>
      <w:i/>
      <w:iCs/>
      <w:color w:val="404040" w:themeColor="text1" w:themeTint="BF"/>
    </w:rPr>
  </w:style>
  <w:style w:type="paragraph" w:styleId="ListParagraph">
    <w:name w:val="List Paragraph"/>
    <w:basedOn w:val="Normal"/>
    <w:uiPriority w:val="34"/>
    <w:qFormat/>
    <w:rsid w:val="005B70E6"/>
    <w:pPr>
      <w:ind w:left="720"/>
      <w:contextualSpacing/>
    </w:pPr>
  </w:style>
  <w:style w:type="character" w:styleId="IntenseEmphasis">
    <w:name w:val="Intense Emphasis"/>
    <w:basedOn w:val="DefaultParagraphFont"/>
    <w:uiPriority w:val="21"/>
    <w:qFormat/>
    <w:rsid w:val="005B70E6"/>
    <w:rPr>
      <w:i/>
      <w:iCs/>
      <w:color w:val="0F4761" w:themeColor="accent1" w:themeShade="BF"/>
    </w:rPr>
  </w:style>
  <w:style w:type="paragraph" w:styleId="IntenseQuote">
    <w:name w:val="Intense Quote"/>
    <w:basedOn w:val="Normal"/>
    <w:next w:val="Normal"/>
    <w:link w:val="IntenseQuoteChar"/>
    <w:uiPriority w:val="30"/>
    <w:qFormat/>
    <w:rsid w:val="005B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0E6"/>
    <w:rPr>
      <w:i/>
      <w:iCs/>
      <w:color w:val="0F4761" w:themeColor="accent1" w:themeShade="BF"/>
    </w:rPr>
  </w:style>
  <w:style w:type="character" w:styleId="IntenseReference">
    <w:name w:val="Intense Reference"/>
    <w:basedOn w:val="DefaultParagraphFont"/>
    <w:uiPriority w:val="32"/>
    <w:qFormat/>
    <w:rsid w:val="005B70E6"/>
    <w:rPr>
      <w:b/>
      <w:bCs w:val="0"/>
      <w:smallCaps/>
      <w:color w:val="0F4761" w:themeColor="accent1" w:themeShade="BF"/>
      <w:spacing w:val="5"/>
    </w:rPr>
  </w:style>
  <w:style w:type="paragraph" w:customStyle="1" w:styleId="isselectedend">
    <w:name w:val="isselectedend"/>
    <w:basedOn w:val="Normal"/>
    <w:rsid w:val="005B70E6"/>
    <w:pPr>
      <w:spacing w:before="100" w:beforeAutospacing="1" w:after="100" w:afterAutospacing="1" w:line="240" w:lineRule="auto"/>
    </w:pPr>
    <w:rPr>
      <w:rFonts w:ascii="Times New Roman" w:eastAsia="Times New Roman" w:hAnsi="Times New Roman" w:cs="Times New Roman"/>
      <w:bCs w:val="0"/>
      <w:sz w:val="24"/>
      <w:szCs w:val="24"/>
    </w:rPr>
  </w:style>
  <w:style w:type="character" w:styleId="Strong">
    <w:name w:val="Strong"/>
    <w:basedOn w:val="DefaultParagraphFont"/>
    <w:uiPriority w:val="22"/>
    <w:qFormat/>
    <w:rsid w:val="005B70E6"/>
    <w:rPr>
      <w:b/>
      <w:bCs w:val="0"/>
    </w:rPr>
  </w:style>
  <w:style w:type="paragraph" w:styleId="NormalWeb">
    <w:name w:val="Normal (Web)"/>
    <w:basedOn w:val="Normal"/>
    <w:uiPriority w:val="99"/>
    <w:semiHidden/>
    <w:unhideWhenUsed/>
    <w:rsid w:val="005B70E6"/>
    <w:pPr>
      <w:spacing w:before="100" w:beforeAutospacing="1" w:after="100" w:afterAutospacing="1" w:line="240" w:lineRule="auto"/>
    </w:pPr>
    <w:rPr>
      <w:rFonts w:ascii="Times New Roman" w:eastAsia="Times New Roman" w:hAnsi="Times New Roman" w:cs="Times New Roman"/>
      <w:bCs w:val="0"/>
      <w:sz w:val="24"/>
      <w:szCs w:val="24"/>
    </w:rPr>
  </w:style>
  <w:style w:type="character" w:styleId="Hyperlink">
    <w:name w:val="Hyperlink"/>
    <w:basedOn w:val="DefaultParagraphFont"/>
    <w:uiPriority w:val="99"/>
    <w:unhideWhenUsed/>
    <w:rsid w:val="005B70E6"/>
    <w:rPr>
      <w:color w:val="467886" w:themeColor="hyperlink"/>
      <w:u w:val="single"/>
    </w:rPr>
  </w:style>
  <w:style w:type="character" w:styleId="UnresolvedMention">
    <w:name w:val="Unresolved Mention"/>
    <w:basedOn w:val="DefaultParagraphFont"/>
    <w:uiPriority w:val="99"/>
    <w:semiHidden/>
    <w:unhideWhenUsed/>
    <w:rsid w:val="005B70E6"/>
    <w:rPr>
      <w:color w:val="605E5C"/>
      <w:shd w:val="clear" w:color="auto" w:fill="E1DFDD"/>
    </w:rPr>
  </w:style>
  <w:style w:type="paragraph" w:styleId="Header">
    <w:name w:val="header"/>
    <w:basedOn w:val="Normal"/>
    <w:link w:val="HeaderChar"/>
    <w:uiPriority w:val="99"/>
    <w:unhideWhenUsed/>
    <w:rsid w:val="00F70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89D"/>
  </w:style>
  <w:style w:type="paragraph" w:styleId="Footer">
    <w:name w:val="footer"/>
    <w:basedOn w:val="Normal"/>
    <w:link w:val="FooterChar"/>
    <w:uiPriority w:val="99"/>
    <w:unhideWhenUsed/>
    <w:rsid w:val="00F70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gulations.gov/document/OMB-2026-0034-000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5f34c3-3c3b-4ab5-a09d-c9b442fcc7b7" xsi:nil="true"/>
    <lcf76f155ced4ddcb4097134ff3c332f xmlns="caeefea6-9df6-4ff6-9f98-2e6283677c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88B1CF00A9B34B87D02841CA738373" ma:contentTypeVersion="19" ma:contentTypeDescription="Create a new document." ma:contentTypeScope="" ma:versionID="144c1e96d5449e4cca41c9b2dfb03a27">
  <xsd:schema xmlns:xsd="http://www.w3.org/2001/XMLSchema" xmlns:xs="http://www.w3.org/2001/XMLSchema" xmlns:p="http://schemas.microsoft.com/office/2006/metadata/properties" xmlns:ns2="caeefea6-9df6-4ff6-9f98-2e6283677c3d" xmlns:ns3="725f34c3-3c3b-4ab5-a09d-c9b442fcc7b7" targetNamespace="http://schemas.microsoft.com/office/2006/metadata/properties" ma:root="true" ma:fieldsID="46ccab8615fbe13729f9cb1f92ede4ec" ns2:_="" ns3:_="">
    <xsd:import namespace="caeefea6-9df6-4ff6-9f98-2e6283677c3d"/>
    <xsd:import namespace="725f34c3-3c3b-4ab5-a09d-c9b442fcc7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efea6-9df6-4ff6-9f98-2e6283677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6338b8-b3a7-4941-95ef-e444c73a7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f34c3-3c3b-4ab5-a09d-c9b442fcc7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eea31-6828-4f9b-8dd7-70a92284f8fb}" ma:internalName="TaxCatchAll" ma:showField="CatchAllData" ma:web="725f34c3-3c3b-4ab5-a09d-c9b442fcc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81A5C-EE86-43BB-A743-44CB5710327B}">
  <ds:schemaRefs>
    <ds:schemaRef ds:uri="http://schemas.microsoft.com/office/2006/metadata/properties"/>
    <ds:schemaRef ds:uri="http://schemas.microsoft.com/office/infopath/2007/PartnerControls"/>
    <ds:schemaRef ds:uri="725f34c3-3c3b-4ab5-a09d-c9b442fcc7b7"/>
    <ds:schemaRef ds:uri="caeefea6-9df6-4ff6-9f98-2e6283677c3d"/>
  </ds:schemaRefs>
</ds:datastoreItem>
</file>

<file path=customXml/itemProps2.xml><?xml version="1.0" encoding="utf-8"?>
<ds:datastoreItem xmlns:ds="http://schemas.openxmlformats.org/officeDocument/2006/customXml" ds:itemID="{D84D8D92-ABEA-4F33-9A19-ACD80093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efea6-9df6-4ff6-9f98-2e6283677c3d"/>
    <ds:schemaRef ds:uri="725f34c3-3c3b-4ab5-a09d-c9b442fcc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DA36A-A47F-4E4E-8C9D-02DB2EED2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516</Words>
  <Characters>3320</Characters>
  <Application>Microsoft Office Word</Application>
  <DocSecurity>4</DocSecurity>
  <Lines>79</Lines>
  <Paragraphs>57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Ignaszewski</dc:creator>
  <cp:keywords/>
  <dc:description/>
  <cp:lastModifiedBy>Judith Hill</cp:lastModifiedBy>
  <cp:revision>2</cp:revision>
  <dcterms:created xsi:type="dcterms:W3CDTF">2026-06-17T14:19:00Z</dcterms:created>
  <dcterms:modified xsi:type="dcterms:W3CDTF">2026-06-17T14:19:00Z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0x0101004C88B1CF00A9B34B87D02841CA738373</vt:lpwstr>
  </property>
  <property fmtid="{D5CDD505-2E9C-101B-9397-08002B2CF9AE}" pid="3" name="MediaServiceImageTags">
    <vt:lpwstr/>
  </property>
</Properties>
</file>